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HSTD-20260624-0010/TLHĐ-VFI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26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HSTD-20260624-0010/HĐTĐ-VFI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25/6/2026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Công ty cơ giới Vĩnh Phúc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cơ giới Vĩnh Phúc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HSTD-20260624-0010/HĐTĐ-VFI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25/6/2026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Công ty cơ giới Vĩnh Phúc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12.037.037.037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962.962.963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13.000.000.000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ba tỷ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HSTD-20260624-0010/HĐTĐ-VFI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25/6/2026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