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HSTD-20260610-0004/TLHĐ-VFI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27 tháng 6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HSTD-20260610-0004/HĐTĐ-VFI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24/6/2026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zalo Pmi Miền Bắc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zalo Pmi Miền Bắc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011111111111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HSTD-20260610-0004/HĐTĐ-VFI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24/6/2026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zalo Pmi Miền Bắc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6.465.320.000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3.703.704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296.296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Bốn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HSTD-20260610-0004/HĐTĐ-VFI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24/6/2026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