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Default Extension="bin" ContentType="application/vnd.openxmlformats-officedocument.oleObject"/>
  <Default Extension="wmf" ContentType="image/x-wmf"/>
  <Override PartName="/docProps/custom.xml" ContentType="application/vnd.openxmlformats-officedocument.custom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Style w:val="736"/>
        <w:tblInd w:w="73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151"/>
        <w:gridCol w:w="5816"/>
      </w:tblGrid>
      <w:tr>
        <w:trPr/>
        <w:tc>
          <w:tcPr>
            <w:tcBorders/>
            <w:tcW w:w="4288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CÔNG TY CỔ PHẦN THẨM ĐỊNH VÀ ĐẦU TƯ TÀI CHÍNH HOA SEN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</w:tc>
        <w:tc>
          <w:tcPr>
            <w:tcBorders/>
            <w:tcW w:w="6025" w:type="dxa"/>
            <w:textDirection w:val="lrTb"/>
            <w:noWrap w:val="false"/>
          </w:tcPr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CỘNG HÒA XÃ HỘI CHỦ NGHĨA VIỆT NAM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Độc lập - Tự do -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 Hạnh phúc</w:t>
            </w: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</w:r>
          </w:p>
          <w:p>
            <w:pPr>
              <w:pBdr/>
              <w:tabs>
                <w:tab w:val="left" w:leader="none" w:pos="4857"/>
              </w:tabs>
              <w:spacing w:before="66"/>
              <w:ind/>
              <w:jc w:val="center"/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pacing w:val="-1"/>
                <w:position w:val="-8"/>
                <w:sz w:val="24"/>
                <w:szCs w:val="24"/>
              </w:rPr>
              <w:t xml:space="preserve">-----***-----</w:t>
            </w:r>
            <w:r>
              <w:rPr>
                <w:rFonts w:ascii="Times New Roman" w:hAnsi="Times New Roman" w:eastAsia="Times New Roman" w:cs="Times New Roman"/>
                <w:spacing w:val="-1"/>
                <w:position w:val="-8"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4857"/>
        </w:tabs>
        <w:spacing w:before="66"/>
        <w:ind w:left="7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position w:val="-8"/>
          <w:sz w:val="24"/>
          <w:szCs w:val="24"/>
        </w:rPr>
        <w:t xml:space="preserve">    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Số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 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275/2026/0021</w:t>
      </w:r>
      <w:r>
        <w:rPr>
          <w:rFonts w:ascii="Times New Roman" w:hAnsi="Times New Roman" w:eastAsia="Times New Roman" w:cs="Times New Roman"/>
          <w:position w:val="-8"/>
          <w:sz w:val="24"/>
          <w:szCs w:val="24"/>
          <w:lang w:val="undefined"/>
        </w:rPr>
        <w:t xml:space="preserve">/TLH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 xml:space="preserve">Đ-VFI</w:t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</w:r>
      <w:r>
        <w:rPr>
          <w:rFonts w:ascii="Times New Roman" w:hAnsi="Times New Roman" w:eastAsia="Times New Roman" w:cs="Times New Roman"/>
          <w:position w:val="-8"/>
          <w:sz w:val="24"/>
          <w:szCs w:val="24"/>
        </w:rPr>
        <w:tab/>
        <w:t xml:space="preserve">    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Hà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pacing w:val="-1"/>
          <w:sz w:val="24"/>
          <w:szCs w:val="24"/>
        </w:rPr>
        <w:t xml:space="preserve">Nội,</w:t>
      </w:r>
      <w:r>
        <w:rPr>
          <w:rFonts w:ascii="Times New Roman" w:hAnsi="Times New Roman" w:eastAsia="Times New Roman" w:cs="Times New Roman"/>
          <w:i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sz w:val="24"/>
          <w:szCs w:val="24"/>
        </w:rPr>
        <w:t xml:space="preserve">ngày .... tháng .... năm 2026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 w:right="7"/>
        <w:jc w:val="center"/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BIÊN BẢN NGHIỆM THU,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THANH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"/>
          <w:sz w:val="28"/>
          <w:szCs w:val="24"/>
        </w:rPr>
        <w:t xml:space="preserve">LÝ</w:t>
      </w:r>
      <w:r>
        <w:rPr>
          <w:rFonts w:ascii="Times New Roman" w:hAnsi="Times New Roman" w:eastAsia="Times New Roman" w:cs="Times New Roman"/>
          <w:b/>
          <w:bCs/>
          <w:spacing w:val="-6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  <w:t xml:space="preserve">HỢP</w:t>
      </w:r>
      <w:r>
        <w:rPr>
          <w:rFonts w:ascii="Times New Roman" w:hAnsi="Times New Roman" w:eastAsia="Times New Roman" w:cs="Times New Roman"/>
          <w:b/>
          <w:bCs/>
          <w:spacing w:val="-11"/>
          <w:sz w:val="28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4"/>
        </w:rPr>
        <w:t xml:space="preserve">ĐỒNG</w:t>
      </w:r>
      <w:r>
        <w:rPr>
          <w:rFonts w:ascii="Times New Roman" w:hAnsi="Times New Roman" w:eastAsia="Times New Roman" w:cs="Times New Roman"/>
          <w:b/>
          <w:bCs/>
          <w:spacing w:val="-1"/>
          <w:sz w:val="28"/>
          <w:szCs w:val="24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450"/>
        </w:tabs>
        <w:spacing w:after="120" w:before="120" w:line="288" w:lineRule="auto"/>
        <w:ind w:right="0" w:firstLine="499" w:left="-74"/>
        <w:jc w:val="both"/>
        <w:rPr/>
      </w:pPr>
      <w:r>
        <w:rPr>
          <w:rFonts w:cs="Times New Roman"/>
          <w:i/>
          <w:spacing w:val="-4"/>
          <w:sz w:val="24"/>
          <w:szCs w:val="24"/>
          <w:lang w:val="pt-BR"/>
        </w:rPr>
        <w:t xml:space="preserve">- </w:t>
      </w:r>
      <w:r>
        <w:rPr>
          <w:rFonts w:cs="Times New Roman"/>
          <w:i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u w:val="none"/>
        </w:rPr>
        <w:t xml:space="preserve">Căn cứ Hợp đồng dịch vụ thẩm định giá số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275/2025/0162/VFI-HĐTĐ.21.A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ký kết ngày 03/4/2026 giữa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Công Ty TNHH Điện Tử Samsung HCMC CE Complex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</w:rPr>
        <w:t xml:space="preserve">với Công ty Cổ phần Thẩm định và Đầu tư Tài chính Hoa Sen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450"/>
        </w:tabs>
        <w:spacing w:after="120" w:before="120" w:line="288" w:lineRule="auto"/>
        <w:ind w:right="0" w:firstLine="499" w:left="-74"/>
        <w:jc w:val="both"/>
        <w:rPr/>
      </w:pP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Based on Valuation Service Contract No. 275/2025/0162/VFI-HDTD.21.A signed on April 03, 2026, between Samsung Electronics HCMC CE Complex Co., Ltd and Lotus Finance Investment and Valuation Joint Stock Company;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450"/>
        </w:tabs>
        <w:spacing w:after="120" w:before="120" w:line="288" w:lineRule="auto"/>
        <w:ind w:right="0" w:firstLine="499" w:left="-74"/>
        <w:jc w:val="both"/>
        <w:rPr/>
      </w:pP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Căn cứ Báo cáo thẩm định giá số 275/2026/0795/VFI-BC.39.A ngày 27/5/2026 của Công ty Cổ phần Thẩm định và Đầu tư Tài chính Hoa Sen;</w:t>
      </w:r>
      <w:r/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bCs/>
          <w:i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Based on Valuation Report No. 275/2026/0795/VFI-BC.39.A dated May 27, 2026, by Lotus Finance Investment and Valuation Joint Stock Company</w:t>
      </w:r>
      <w:r/>
      <w:r>
        <w:rPr>
          <w:rFonts w:cs="Times New Roman"/>
          <w:i/>
          <w:spacing w:val="-4"/>
          <w:sz w:val="24"/>
          <w:szCs w:val="24"/>
          <w:lang w:val="pt-BR"/>
        </w:rPr>
      </w:r>
      <w:r>
        <w:rPr>
          <w:rFonts w:cs="Times New Roman"/>
          <w:i/>
          <w:sz w:val="24"/>
          <w:szCs w:val="24"/>
        </w:rPr>
      </w:r>
      <w:r/>
    </w:p>
    <w:tbl>
      <w:tblPr>
        <w:tblInd w:w="128" w:type="dxa"/>
        <w:tblW w:w="9937" w:type="dxa"/>
        <w:tblCellMar>
          <w:left w:w="113" w:type="dxa"/>
          <w:right w:w="113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974"/>
        <w:gridCol w:w="425"/>
        <w:gridCol w:w="7538"/>
      </w:tblGrid>
      <w:tr>
        <w:trPr>
          <w:cantSplit/>
          <w:trHeight w:val="545"/>
        </w:trPr>
        <w:tc>
          <w:tcPr>
            <w:tcBorders/>
            <w:tcW w:w="1974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BÊN 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Borders/>
            <w:tcW w:w="753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CÔNG TY TNHH ĐIỆN TỬ SAMSUNG HCMC CE COMPLEX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SAMSUNG ELECTRONICS HCMC CE COMPLEX CO., LTD</w:t>
            </w:r>
            <w:r/>
          </w:p>
        </w:tc>
      </w:tr>
      <w:tr>
        <w:trPr>
          <w:cantSplit/>
          <w:trHeight w:val="182"/>
        </w:trPr>
        <w:tc>
          <w:tcPr>
            <w:tcBorders/>
            <w:tcW w:w="197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Địa chỉ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53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Lô I-11, đường D2, Khu công nghệ cao, phường Tăng Nhơn Phú, Thành Phố Hồ Chí Minh, Việt Nam</w:t>
            </w:r>
            <w:r/>
          </w:p>
        </w:tc>
      </w:tr>
      <w:tr>
        <w:trPr>
          <w:cantSplit/>
          <w:trHeight w:val="80"/>
        </w:trPr>
        <w:tc>
          <w:tcPr>
            <w:tcBorders/>
            <w:tcW w:w="197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Address</w:t>
            </w:r>
            <w:r/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/>
            <w:tcW w:w="753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Lot I-11, D2 Road, Saigon Hi-Tech Park, Tang Nhon Phu Ward, Ho Chi Minh City, Vietnam</w:t>
            </w:r>
            <w:r/>
          </w:p>
        </w:tc>
      </w:tr>
      <w:tr>
        <w:trPr>
          <w:cantSplit/>
          <w:trHeight w:val="80"/>
        </w:trPr>
        <w:tc>
          <w:tcPr>
            <w:tcBorders/>
            <w:tcW w:w="197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Mã số thuế/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Tax code</w:t>
            </w:r>
            <w:r/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53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0313055543</w:t>
            </w:r>
            <w:r/>
          </w:p>
        </w:tc>
      </w:tr>
      <w:tr>
        <w:trPr>
          <w:trHeight w:val="80"/>
        </w:trPr>
        <w:tc>
          <w:tcPr>
            <w:tcBorders/>
            <w:tcW w:w="1974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Điện thoại/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Tel</w:t>
            </w:r>
            <w:r/>
          </w:p>
        </w:tc>
        <w:tc>
          <w:tcPr>
            <w:tcBorders/>
            <w:tcW w:w="425" w:type="dxa"/>
            <w:vMerge w:val="restart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538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84-28-6285-5999</w:t>
            </w:r>
            <w:r/>
          </w:p>
        </w:tc>
      </w:tr>
      <w:tr>
        <w:trPr>
          <w:trHeight w:val="80"/>
        </w:trPr>
        <w:tc>
          <w:tcPr>
            <w:tcBorders/>
            <w:tcW w:w="1974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Tài khoản ngân hàng số/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Bank account No.</w:t>
            </w:r>
            <w:r/>
          </w:p>
        </w:tc>
        <w:tc>
          <w:tcPr>
            <w:tcBorders/>
            <w:tcW w:w="425" w:type="dxa"/>
            <w:vMerge w:val="restart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538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090-000688-001</w:t>
            </w:r>
            <w:r/>
          </w:p>
        </w:tc>
      </w:tr>
      <w:tr>
        <w:trPr>
          <w:trHeight w:val="80"/>
        </w:trPr>
        <w:tc>
          <w:tcPr>
            <w:tcBorders/>
            <w:tcW w:w="1974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Ngân hàng/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Bank</w:t>
            </w:r>
            <w:r/>
          </w:p>
        </w:tc>
        <w:tc>
          <w:tcPr>
            <w:tcBorders/>
            <w:tcW w:w="425" w:type="dxa"/>
            <w:vMerge w:val="restart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538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Ngân hàng TNHH Một Thành Viên HSBC (Việt Nam)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HSBC Bank (Vietnam) Ltd.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Swiftcode: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HSBCVNVX</w:t>
            </w:r>
            <w:r/>
          </w:p>
        </w:tc>
      </w:tr>
      <w:tr>
        <w:trPr>
          <w:trHeight w:val="80"/>
        </w:trPr>
        <w:tc>
          <w:tcPr>
            <w:tcBorders/>
            <w:tcW w:w="1974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Đại diện/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Represented by</w:t>
            </w:r>
            <w:r/>
          </w:p>
        </w:tc>
        <w:tc>
          <w:tcPr>
            <w:tcBorders/>
            <w:tcW w:w="425" w:type="dxa"/>
            <w:vMerge w:val="restart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538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(Ông/Mr.) </w:t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Min SeonHo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/>
          </w:p>
        </w:tc>
      </w:tr>
      <w:tr>
        <w:trPr>
          <w:trHeight w:val="80"/>
        </w:trPr>
        <w:tc>
          <w:tcPr>
            <w:tcBorders/>
            <w:tcW w:w="1974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Chức vụ/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Title</w:t>
            </w:r>
            <w:r/>
          </w:p>
        </w:tc>
        <w:tc>
          <w:tcPr>
            <w:tcBorders/>
            <w:tcW w:w="425" w:type="dxa"/>
            <w:vMerge w:val="restart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538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Quyền Giám sát Tài chính/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Acting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Finance Controller</w:t>
            </w:r>
            <w:r/>
          </w:p>
        </w:tc>
      </w:tr>
      <w:tr>
        <w:trPr>
          <w:trHeight w:val="80"/>
        </w:trPr>
        <w:tc>
          <w:tcPr>
            <w:tcBorders/>
            <w:tcW w:w="1974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Giấy ủy quyền/ </w:t>
            </w: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Authorization Letter No.</w:t>
            </w:r>
            <w:r/>
          </w:p>
        </w:tc>
        <w:tc>
          <w:tcPr>
            <w:tcBorders/>
            <w:tcW w:w="425" w:type="dxa"/>
            <w:vMerge w:val="restart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538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07/2026/SEHC-POA</w:t>
            </w:r>
            <w:r/>
          </w:p>
        </w:tc>
      </w:tr>
      <w:tr>
        <w:trPr>
          <w:cantSplit/>
          <w:trHeight w:val="80"/>
        </w:trPr>
        <w:tc>
          <w:tcPr>
            <w:tcBorders/>
            <w:tcW w:w="1974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</w:r>
          </w:p>
        </w:tc>
        <w:tc>
          <w:tcPr>
            <w:tcBorders/>
            <w:tcW w:w="425" w:type="dxa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7538" w:type="dxa"/>
            <w:vAlign w:val="center"/>
            <w:textDirection w:val="lrTb"/>
            <w:noWrap w:val="false"/>
          </w:tcPr>
          <w:p>
            <w:pPr>
              <w:pBdr/>
              <w:spacing w:after="120" w:before="120" w:line="340" w:lineRule="atLeast"/>
              <w:ind w:right="-9"/>
              <w:contextualSpacing w:val="tru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cantSplit/>
          <w:trHeight w:val="124"/>
        </w:trPr>
        <w:tc>
          <w:tcPr>
            <w:tcBorders/>
            <w:tcW w:w="197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Đơn vị thẩm định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Valuation Unit</w:t>
            </w:r>
            <w:r/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</w:t>
            </w:r>
            <w:r/>
          </w:p>
        </w:tc>
        <w:tc>
          <w:tcPr>
            <w:tcBorders/>
            <w:tcW w:w="753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4"/>
                <w:sz w:val="24"/>
              </w:rPr>
              <w:t xml:space="preserve">CÔNG TY CỔ PHẦN THẨM ĐỊNH VÀ ĐẦU TƯ TÀI CHÍNH HOA SEN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4"/>
                <w:sz w:val="24"/>
              </w:rPr>
              <w:t xml:space="preserve">LOTUS FINANCE INVESTMENT AND VALUATION JOINT STOCK COMPANY</w:t>
            </w:r>
            <w:r/>
          </w:p>
        </w:tc>
      </w:tr>
      <w:tr>
        <w:trPr>
          <w:cantSplit/>
        </w:trPr>
        <w:tc>
          <w:tcPr>
            <w:tcBorders/>
            <w:tcW w:w="197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Địa chỉ trụ sở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Head Office Address</w:t>
            </w:r>
            <w:r/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</w:t>
            </w:r>
            <w:r/>
          </w:p>
        </w:tc>
        <w:tc>
          <w:tcPr>
            <w:tcBorders/>
            <w:tcW w:w="753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</w:rPr>
              <w:t xml:space="preserve">BT5 - 23, Khu đô thị mới Văn Phú, Phường Kiến Hưng, Thành phố Hà Nội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pacing w:val="-2"/>
                <w:sz w:val="24"/>
              </w:rPr>
              <w:t xml:space="preserve">BT5 - 23, Van Phu New Urban Area, Kien Hung Ward, Hanoi City</w:t>
            </w:r>
            <w:r/>
          </w:p>
        </w:tc>
      </w:tr>
      <w:tr>
        <w:trPr>
          <w:cantSplit/>
        </w:trPr>
        <w:tc>
          <w:tcPr>
            <w:tcBorders/>
            <w:tcW w:w="197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Điện thoại/ Tel</w:t>
            </w:r>
            <w:r/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 </w:t>
            </w:r>
            <w:r/>
          </w:p>
        </w:tc>
        <w:tc>
          <w:tcPr>
            <w:tcBorders/>
            <w:tcW w:w="753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tabs>
                <w:tab w:val="left" w:leader="none" w:pos="3382"/>
              </w:tabs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024 2264 4333</w:t>
            </w:r>
            <w:r/>
          </w:p>
        </w:tc>
      </w:tr>
      <w:tr>
        <w:trPr>
          <w:cantSplit/>
        </w:trPr>
        <w:tc>
          <w:tcPr>
            <w:tcBorders/>
            <w:tcW w:w="197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Mã số thuế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Tax Code</w:t>
            </w:r>
            <w:r/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</w:t>
            </w:r>
            <w:r/>
          </w:p>
        </w:tc>
        <w:tc>
          <w:tcPr>
            <w:tcBorders/>
            <w:tcW w:w="753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0102708994</w:t>
            </w:r>
            <w:r/>
          </w:p>
        </w:tc>
      </w:tr>
      <w:tr>
        <w:trPr>
          <w:cantSplit/>
        </w:trPr>
        <w:tc>
          <w:tcPr>
            <w:tcBorders/>
            <w:tcW w:w="1974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GCN đủ điều kiện hành nghề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Certificate of Eligibility for Practice</w:t>
            </w:r>
            <w:r/>
          </w:p>
        </w:tc>
        <w:tc>
          <w:tcPr>
            <w:tcBorders/>
            <w:tcW w:w="425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/>
            <w:tcW w:w="7538" w:type="dxa"/>
            <w:vAlign w:val="center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275/TĐG</w:t>
            </w:r>
            <w:r/>
          </w:p>
        </w:tc>
      </w:tr>
      <w:tr>
        <w:trPr/>
        <w:tc>
          <w:tcPr>
            <w:tcBorders/>
            <w:tcW w:w="1974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Thông báo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Notice</w:t>
            </w:r>
            <w:r/>
          </w:p>
        </w:tc>
        <w:tc>
          <w:tcPr>
            <w:tcBorders/>
            <w:tcW w:w="425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/>
            <w:tcW w:w="7538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Số 1294/TB-BTC ngày 25/12/2025</w:t>
            </w:r>
            <w:r>
              <w:rPr>
                <w:rFonts w:ascii="Segoe UI" w:hAnsi="Segoe UI" w:eastAsia="Segoe UI" w:cs="Segoe UI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về việc doanh nghiệp đủ điều kiện kinh doanh Dịch vụ thẩm định giá.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Notice No. 1294/TB-BTC dated December 25, 2025 of the Ministry of Finance regarding enterprises eligible to provide valuation services.</w:t>
            </w:r>
            <w:r/>
          </w:p>
        </w:tc>
      </w:tr>
      <w:tr>
        <w:trPr/>
        <w:tc>
          <w:tcPr>
            <w:tcBorders/>
            <w:tcW w:w="1974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Tài khoản số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Account No.</w:t>
            </w:r>
            <w:r/>
          </w:p>
        </w:tc>
        <w:tc>
          <w:tcPr>
            <w:tcBorders/>
            <w:tcW w:w="425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  <w:tc>
          <w:tcPr>
            <w:tcBorders/>
            <w:tcW w:w="7538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pacing w:val="-4"/>
                <w:sz w:val="24"/>
              </w:rPr>
              <w:t xml:space="preserve">1505112366666 tại Agribank Chi nhánh Hà Nội II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1505112366666 at Agribank - Hanoi II Branch</w:t>
            </w:r>
            <w:r/>
          </w:p>
        </w:tc>
      </w:tr>
      <w:tr>
        <w:trPr/>
        <w:tc>
          <w:tcPr>
            <w:tcBorders/>
            <w:tcW w:w="1974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Đại diện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jc w:val="both"/>
              <w:rPr/>
            </w:pPr>
            <w:r>
              <w:rPr>
                <w:rFonts w:ascii="Times New Roman" w:hAnsi="Times New Roman" w:eastAsia="Times New Roman" w:cs="Times New Roman"/>
                <w:i/>
                <w:color w:val="000000"/>
                <w:sz w:val="24"/>
              </w:rPr>
              <w:t xml:space="preserve">Represented by</w:t>
            </w:r>
            <w:r/>
          </w:p>
        </w:tc>
        <w:tc>
          <w:tcPr>
            <w:tcBorders/>
            <w:tcW w:w="425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</w:t>
            </w:r>
            <w:r/>
          </w:p>
        </w:tc>
        <w:tc>
          <w:tcPr>
            <w:tcBorders/>
            <w:tcW w:w="7538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Ông Vũ Văn Quân</w:t>
              <w:tab/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Mr. Vu Van Quan</w:t>
            </w:r>
            <w:r/>
          </w:p>
        </w:tc>
      </w:tr>
      <w:tr>
        <w:trPr/>
        <w:tc>
          <w:tcPr>
            <w:tcBorders/>
            <w:tcW w:w="1974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Chức vụ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Title</w:t>
            </w:r>
            <w:r/>
          </w:p>
        </w:tc>
        <w:tc>
          <w:tcPr>
            <w:tcBorders/>
            <w:tcW w:w="425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:</w:t>
            </w:r>
            <w:r/>
          </w:p>
        </w:tc>
        <w:tc>
          <w:tcPr>
            <w:tcBorders/>
            <w:tcW w:w="7538" w:type="dxa"/>
            <w:vAlign w:val="center"/>
            <w:vMerge w:val="restar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Chủ tịch HĐQT kiêm Tổng Giám Đốc</w:t>
            </w:r>
            <w:r/>
          </w:p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40" w:before="40"/>
              <w:ind w:right="0" w:firstLine="0" w:left="0"/>
              <w:rPr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pacing w:val="-4"/>
                <w:sz w:val="24"/>
              </w:rPr>
              <w:t xml:space="preserve">Chairman of the Board of Directors cum General Director</w:t>
            </w:r>
            <w:r/>
          </w:p>
        </w:tc>
      </w:tr>
    </w:tbl>
    <w:p>
      <w:pPr>
        <w:pStyle w:val="733"/>
        <w:pBdr/>
        <w:spacing w:after="120" w:before="200" w:line="360" w:lineRule="atLeast"/>
        <w:ind w:right="115" w:left="0"/>
        <w:jc w:val="both"/>
        <w:rPr>
          <w:spacing w:val="-4"/>
          <w:sz w:val="24"/>
          <w:szCs w:val="24"/>
          <w:highlight w:val="none"/>
        </w:rPr>
      </w:pPr>
      <w:r>
        <w:rPr>
          <w:rFonts w:cs="Times New Roman"/>
          <w:sz w:val="24"/>
          <w:szCs w:val="24"/>
        </w:rPr>
        <w:t xml:space="preserve">Hai bên nhất trí thanh lý </w:t>
      </w:r>
      <w:r>
        <w:rPr>
          <w:rFonts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Hợp đồng dịch vụ thẩm định giá số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275/2025/0162/VFI-HĐTĐ.21.A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ký kết ngày 03/4/2026 giữa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Công Ty TNHH Điện Tử Samsung HCMC CE Complex </w:t>
      </w:r>
      <w:r>
        <w:rPr>
          <w:rFonts w:ascii="Times New Roman" w:hAnsi="Times New Roman" w:eastAsia="Times New Roman" w:cs="Times New Roman"/>
          <w:color w:val="000000"/>
          <w:spacing w:val="-6"/>
          <w:sz w:val="24"/>
        </w:rPr>
        <w:t xml:space="preserve">với Công ty Cổ phần Thẩm định và Đầu tư Tài chính Hoa Sen</w:t>
      </w:r>
      <w:r>
        <w:rPr>
          <w:rFonts w:cs="Times New Roman"/>
          <w:sz w:val="24"/>
          <w:szCs w:val="24"/>
        </w:rPr>
      </w:r>
      <w:r>
        <w:rPr>
          <w:spacing w:val="-4"/>
          <w:sz w:val="24"/>
          <w:szCs w:val="24"/>
        </w:rPr>
        <w:t xml:space="preserve"> với các nội dung sau:</w:t>
      </w:r>
      <w:r>
        <w:rPr>
          <w:rFonts w:cs="Times New Roman"/>
          <w:sz w:val="24"/>
          <w:szCs w:val="24"/>
          <w:lang w:val="vi-VN"/>
        </w:rPr>
      </w:r>
    </w:p>
    <w:p>
      <w:pPr>
        <w:pStyle w:val="733"/>
        <w:pBdr/>
        <w:spacing w:after="120" w:before="200" w:line="360" w:lineRule="atLeast"/>
        <w:ind w:right="115" w:left="0"/>
        <w:jc w:val="both"/>
        <w:rPr>
          <w:rFonts w:cs="Times New Roman"/>
          <w:sz w:val="24"/>
          <w:szCs w:val="24"/>
          <w:lang w:val="vi-VN"/>
        </w:rPr>
      </w:pPr>
      <w:r>
        <w:rPr>
          <w:spacing w:val="-4"/>
          <w:sz w:val="24"/>
          <w:szCs w:val="24"/>
          <w:highlight w:val="none"/>
          <w:lang w:val="vi-VN" w:bidi="vi-VN"/>
        </w:rPr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val="undefined"/>
        </w:rPr>
        <w:t xml:space="preserve">Both parties agree to terminate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val="undefined" w:bidi="vi-V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val="undefined"/>
        </w:rPr>
        <w:t xml:space="preserve">B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ased on Valuation Service Contract No. 275/2025/0162/VFI-HDTD.21.A signed on April 03, 2026, between Samsung Electronics HCMC CE Complex Co., Ltd and Lotus Finance Investment and Valuation Joint Stock C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val="undefined"/>
        </w:rPr>
        <w:t xml:space="preserve">ompany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val="undefined" w:bidi="vi-VN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  <w:szCs w:val="24"/>
          <w:lang w:val="undefined"/>
        </w:rPr>
        <w:t xml:space="preserve">with the following contents:</w:t>
      </w:r>
      <w:r>
        <w:rPr>
          <w:spacing w:val="-4"/>
          <w:sz w:val="24"/>
          <w:szCs w:val="24"/>
          <w:highlight w:val="none"/>
          <w:lang w:val="vi-VN" w:bidi="vi-VN"/>
        </w:rPr>
      </w:r>
      <w:r>
        <w:rPr>
          <w:spacing w:val="-4"/>
          <w:sz w:val="24"/>
          <w:szCs w:val="24"/>
          <w:highlight w:val="none"/>
          <w:lang w:val="vi-VN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sz w:val="24"/>
          <w:szCs w:val="24"/>
        </w:rPr>
      </w:pPr>
      <w:r>
        <w:rPr>
          <w:b/>
          <w:bCs/>
          <w:sz w:val="24"/>
          <w:szCs w:val="24"/>
        </w:rPr>
        <w:t xml:space="preserve">Khối lượng công việc:</w:t>
      </w:r>
      <w:r>
        <w:rPr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Bên B đã hoàn thành công việc theo quy định của Hợp đồ</w:t>
      </w:r>
      <w:r>
        <w:rPr>
          <w:rFonts w:cs="Times New Roman"/>
          <w:sz w:val="24"/>
          <w:szCs w:val="24"/>
        </w:rPr>
        <w:t xml:space="preserve">ng và giao cho Bên A 0</w:t>
      </w:r>
      <w:r>
        <w:rPr>
          <w:rFonts w:cs="Times New Roman"/>
          <w:sz w:val="24"/>
          <w:szCs w:val="24"/>
        </w:rPr>
        <w:t xml:space="preserve">2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(</w:t>
      </w:r>
      <w:r>
        <w:rPr>
          <w:rFonts w:cs="Times New Roman"/>
          <w:sz w:val="24"/>
          <w:szCs w:val="24"/>
        </w:rPr>
        <w:t xml:space="preserve">hai</w:t>
      </w:r>
      <w:r>
        <w:rPr>
          <w:rFonts w:cs="Times New Roman"/>
          <w:sz w:val="24"/>
          <w:szCs w:val="24"/>
        </w:rPr>
        <w:t xml:space="preserve">)</w:t>
      </w:r>
      <w:r>
        <w:rPr>
          <w:rFonts w:cs="Times New Roman"/>
          <w:sz w:val="24"/>
          <w:szCs w:val="24"/>
        </w:rPr>
        <w:t xml:space="preserve"> bản </w:t>
      </w:r>
      <w:r>
        <w:rPr>
          <w:rFonts w:cs="Times New Roman"/>
          <w:sz w:val="24"/>
          <w:szCs w:val="24"/>
        </w:rPr>
        <w:t xml:space="preserve">báo cáo, c</w:t>
      </w:r>
      <w:r>
        <w:rPr>
          <w:rFonts w:cs="Times New Roman"/>
          <w:sz w:val="24"/>
          <w:szCs w:val="24"/>
        </w:rPr>
        <w:t xml:space="preserve">hứng thư thẩm định giá và hoá đơn tài chính</w:t>
      </w:r>
      <w:r>
        <w:rPr>
          <w:rFonts w:cs="Times New Roman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b w:val="0"/>
          <w:bCs w:val="0"/>
          <w:sz w:val="24"/>
          <w:szCs w:val="24"/>
          <w14:ligatures w14:val="none"/>
        </w:rPr>
      </w:pPr>
      <w:r>
        <w:rPr>
          <w:rFonts w:cs="Times New Roman"/>
          <w:sz w:val="24"/>
          <w:szCs w:val="24"/>
          <w:highlight w:val="none"/>
        </w:rPr>
      </w:r>
      <w:r>
        <w:rPr>
          <w:b/>
          <w:bCs/>
          <w:sz w:val="24"/>
          <w:szCs w:val="24"/>
          <w:lang w:val="undefined"/>
        </w:rPr>
        <w:t xml:space="preserve">Work volume: </w:t>
      </w:r>
      <w:r>
        <w:rPr>
          <w:b w:val="0"/>
          <w:bCs w:val="0"/>
          <w:sz w:val="24"/>
          <w:szCs w:val="24"/>
        </w:rPr>
        <w:t xml:space="preserve">Party B </w:t>
      </w:r>
      <w:r>
        <w:rPr>
          <w:b w:val="0"/>
          <w:bCs w:val="0"/>
          <w:sz w:val="24"/>
          <w:szCs w:val="24"/>
        </w:rPr>
        <w:t xml:space="preserve">has completed the work as stipulated in the contract and delivered to Party A 02 (two) copies of the v</w:t>
      </w:r>
      <w:r>
        <w:rPr>
          <w:b w:val="0"/>
          <w:bCs w:val="0"/>
          <w:sz w:val="24"/>
          <w:szCs w:val="24"/>
          <w:lang w:val="undefined"/>
        </w:rPr>
        <w:t xml:space="preserve">aluation certificate report and financial invoice</w:t>
      </w:r>
      <w:r>
        <w:rPr>
          <w:b w:val="0"/>
          <w:bCs w:val="0"/>
          <w:sz w:val="24"/>
          <w:szCs w:val="24"/>
          <w:lang w:val="undefined" w:bidi="undefined"/>
        </w:rPr>
      </w:r>
      <w:r>
        <w:rPr>
          <w:b w:val="0"/>
          <w:bCs w:val="0"/>
          <w:sz w:val="24"/>
          <w:szCs w:val="24"/>
          <w:lang w:val="undefined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115" w:hanging="567" w:left="567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Giá trị nghiệm thu: </w:t>
      </w:r>
      <w:r>
        <w:rPr>
          <w:rFonts w:cs="Times New Roman"/>
          <w:b/>
          <w:bCs/>
          <w:sz w:val="24"/>
          <w:szCs w:val="24"/>
        </w:rPr>
      </w:r>
    </w:p>
    <w:tbl>
      <w:tblPr>
        <w:jc w:val="center"/>
        <w:tblW w:w="87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60"/>
        <w:gridCol w:w="4420"/>
        <w:gridCol w:w="3320"/>
      </w:tblGrid>
      <w:tr>
        <w:trPr>
          <w:jc w:val="center"/>
          <w:trHeight w:val="323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STT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Nội dung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  <w:t xml:space="preserve">Content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Giá trị (đồng)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r>
          </w:p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ndefined" w:bidi="undefined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ndefined"/>
              </w:rPr>
              <w:t xml:space="preserve">Value (VND)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ndefined" w:bidi="undefined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undefined"/>
              </w:rPr>
            </w:r>
          </w:p>
        </w:tc>
      </w:tr>
      <w:tr>
        <w:trPr>
          <w:jc w:val="center"/>
          <w:trHeight w:val="297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/>
              </w:rPr>
              <w:t xml:space="preserve">Giá trị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/>
              </w:rPr>
            </w:r>
          </w:p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 w:bidi="undefined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/>
              </w:rPr>
              <w:t xml:space="preserve">Appraised value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 w:bidi="undefined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 w:bidi="undefined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/>
              </w:rPr>
            </w:r>
          </w:p>
        </w:tc>
        <w:tc>
          <w:tcPr>
            <w:tcBorders/>
            <w:tcW w:w="33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2"/>
              </w:rPr>
              <w:t xml:space="preserve">3.496.800.000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/>
              </w:rPr>
              <w:t xml:space="preserve">Phí thẩm định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/>
              </w:rPr>
            </w:r>
          </w:p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 w:bidi="undefined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/>
              </w:rPr>
              <w:t xml:space="preserve">Appraisal fee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 w:bidi="undefined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 w:bidi="undefined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80.000.000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/>
              </w:rPr>
              <w:t xml:space="preserve">VAT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/>
              </w:rPr>
              <w:t xml:space="preserve">%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6.400.000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rPr>
          <w:jc w:val="center"/>
          <w:trHeight w:val="310"/>
        </w:trPr>
        <w:tc>
          <w:tcPr>
            <w:tcBorders/>
            <w:tcW w:w="96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Borders/>
            <w:tcW w:w="4420" w:type="dxa"/>
            <w:vAlign w:val="center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/>
              </w:rPr>
              <w:t xml:space="preserve">Tổng giá trị thẩm định (bao gồm cả VAT)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/>
              </w:rPr>
            </w:r>
          </w:p>
          <w:p>
            <w:pPr>
              <w:widowControl w:val="true"/>
              <w:pBdr/>
              <w:spacing/>
              <w:ind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 w:bidi="undefined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/>
              </w:rPr>
              <w:t xml:space="preserve">Total appraised value (including VAT)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 w:bidi="undefined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 w:bidi="undefined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undefined"/>
              </w:rPr>
            </w:r>
          </w:p>
        </w:tc>
        <w:tc>
          <w:tcPr>
            <w:tcBorders/>
            <w:tcW w:w="3320" w:type="dxa"/>
            <w:vAlign w:val="bottom"/>
            <w:textDirection w:val="lrTb"/>
            <w:noWrap w:val="false"/>
          </w:tcPr>
          <w:p>
            <w:pPr>
              <w:widowControl w:val="true"/>
              <w:pBdr/>
              <w:spacing/>
              <w:ind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86.400.000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pBdr/>
        <w:spacing/>
        <w:ind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pBdr/>
        <w:spacing/>
        <w:ind/>
        <w:rPr>
          <w:rFonts w:ascii="Times New Roman" w:hAnsi="Times New Roman" w:eastAsia="Times New Roman"/>
          <w:b/>
          <w:bCs/>
          <w:sz w:val="24"/>
          <w:szCs w:val="24"/>
        </w:rPr>
      </w:pPr>
      <w:r>
        <w:rPr>
          <w:rFonts w:ascii="Times New Roman" w:hAnsi="Times New Roman" w:eastAsia="Times New Roman"/>
          <w:b/>
          <w:bCs/>
          <w:sz w:val="24"/>
          <w:szCs w:val="24"/>
        </w:rPr>
        <w:br w:type="page" w:clear="all"/>
      </w:r>
      <w:r>
        <w:rPr>
          <w:rFonts w:ascii="Times New Roman" w:hAnsi="Times New Roman" w:eastAsia="Times New Roman"/>
          <w:b/>
          <w:bCs/>
          <w:sz w:val="24"/>
          <w:szCs w:val="24"/>
        </w:rPr>
      </w:r>
    </w:p>
    <w:p>
      <w:pPr>
        <w:pStyle w:val="733"/>
        <w:numPr>
          <w:ilvl w:val="0"/>
          <w:numId w:val="1"/>
        </w:numPr>
        <w:pBdr/>
        <w:spacing w:after="120" w:before="200" w:line="360" w:lineRule="atLeast"/>
        <w:ind w:right="349" w:hanging="567" w:left="567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Phần thanh toán: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Bên A</w:t>
      </w:r>
      <w:r>
        <w:rPr>
          <w:bCs/>
          <w:sz w:val="24"/>
          <w:szCs w:val="24"/>
        </w:rPr>
        <w:t xml:space="preserve"> thanh toán đầy đủ phí dịch vụ theo hợp đồng cho Bên B như sau:</w:t>
      </w:r>
      <w:r>
        <w:rPr>
          <w:bCs/>
          <w:sz w:val="24"/>
          <w:szCs w:val="24"/>
        </w:rPr>
      </w:r>
    </w:p>
    <w:p>
      <w:pPr>
        <w:pStyle w:val="733"/>
        <w:pBdr/>
        <w:spacing w:after="120" w:before="200" w:line="360" w:lineRule="atLeast"/>
        <w:ind w:right="349" w:firstLine="0" w:left="567"/>
        <w:jc w:val="both"/>
        <w:rPr>
          <w:sz w:val="24"/>
          <w:szCs w:val="24"/>
          <w14:ligatures w14:val="none"/>
        </w:rPr>
      </w:pPr>
      <w:r>
        <w:rPr>
          <w:sz w:val="24"/>
          <w:szCs w:val="24"/>
          <w:lang w:val="undefined" w:bidi="undefined"/>
        </w:rPr>
      </w:r>
      <w:r>
        <w:rPr>
          <w:sz w:val="24"/>
          <w:szCs w:val="24"/>
          <w:lang w:val="undefined"/>
        </w:rPr>
        <w:t xml:space="preserve">Payment: Party A shall pay Party B the full service fee as per the contract as follows:</w:t>
      </w:r>
      <w:r>
        <w:rPr>
          <w:sz w:val="24"/>
          <w:szCs w:val="24"/>
          <w:lang w:val="undefined" w:bidi="undefined"/>
        </w:rPr>
      </w:r>
      <w:r>
        <w:rPr>
          <w:sz w:val="24"/>
          <w:szCs w:val="24"/>
          <w:lang w:val="undefined"/>
        </w:rPr>
      </w:r>
    </w:p>
    <w:tbl>
      <w:tblPr>
        <w:tblStyle w:val="736"/>
        <w:tblInd w:w="918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870"/>
        <w:gridCol w:w="282"/>
        <w:gridCol w:w="3588"/>
      </w:tblGrid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z w:val="24"/>
                <w:szCs w:val="24"/>
                <w14:ligatures w14:val="none"/>
              </w:rPr>
            </w:pPr>
            <w:r>
              <w:rPr>
                <w:rFonts w:cs="Times New Roman"/>
                <w:sz w:val="24"/>
                <w:szCs w:val="24"/>
                <w:lang w:val="undefined"/>
              </w:rPr>
              <w:t xml:space="preserve">Giá trị hợp đồng (bao gồm cả VAT)</w:t>
            </w:r>
            <w:r>
              <w:rPr>
                <w:rFonts w:cs="Times New Roman"/>
                <w:sz w:val="24"/>
                <w:szCs w:val="24"/>
                <w:lang w:val="undefined"/>
              </w:rPr>
            </w:r>
          </w:p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z w:val="24"/>
                <w:szCs w:val="24"/>
                <w14:ligatures w14:val="none"/>
              </w:rPr>
            </w:pPr>
            <w:r>
              <w:rPr>
                <w:rFonts w:cs="Times New Roman"/>
                <w:sz w:val="24"/>
                <w:szCs w:val="24"/>
                <w:lang w:val="undefined" w:bidi="undefined"/>
              </w:rPr>
            </w:r>
            <w:r>
              <w:rPr>
                <w:rFonts w:cs="Times New Roman"/>
                <w:sz w:val="24"/>
                <w:szCs w:val="24"/>
                <w:lang w:val="undefined"/>
              </w:rPr>
              <w:t xml:space="preserve">Contract value (including VAT)</w:t>
            </w:r>
            <w:r>
              <w:rPr>
                <w:rFonts w:cs="Times New Roman"/>
                <w:sz w:val="24"/>
                <w:szCs w:val="24"/>
                <w:lang w:val="undefined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val="undefined" w:bidi="undefined"/>
              </w:rPr>
            </w:r>
            <w:r>
              <w:rPr>
                <w:rFonts w:cs="Times New Roman"/>
                <w:sz w:val="24"/>
                <w:szCs w:val="24"/>
                <w:lang w:val="undefined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pacing w:val="-1"/>
                <w:sz w:val="24"/>
                <w:szCs w:val="24"/>
              </w:rPr>
            </w:pPr>
            <w:r>
              <w:rPr>
                <w:rFonts w:cs="Times New Roman"/>
                <w:spacing w:val="-1"/>
                <w:sz w:val="24"/>
                <w:szCs w:val="24"/>
              </w:rPr>
              <w:t xml:space="preserve">86.400.000</w:t>
            </w:r>
            <w:r>
              <w:rPr>
                <w:rFonts w:cs="Times New Roman"/>
                <w:spacing w:val="-1"/>
                <w:sz w:val="24"/>
                <w:szCs w:val="24"/>
              </w:rPr>
              <w:t xml:space="preserve"> đồng</w:t>
            </w:r>
            <w:r>
              <w:rPr>
                <w:rFonts w:cs="Times New Roman"/>
                <w:spacing w:val="-1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z w:val="24"/>
                <w:szCs w:val="24"/>
                <w14:ligatures w14:val="none"/>
              </w:rPr>
            </w:pPr>
            <w:r>
              <w:rPr>
                <w:rFonts w:cs="Times New Roman"/>
                <w:sz w:val="24"/>
                <w:szCs w:val="24"/>
                <w:lang w:val="undefined"/>
              </w:rPr>
              <w:t xml:space="preserve">Giá trị thanh lý hợp đồng </w:t>
            </w:r>
            <w:r>
              <w:rPr>
                <w:rFonts w:cs="Times New Roman"/>
                <w:sz w:val="24"/>
                <w:szCs w:val="24"/>
                <w:lang w:val="undefined"/>
              </w:rPr>
            </w:r>
          </w:p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z w:val="24"/>
                <w:szCs w:val="24"/>
                <w14:ligatures w14:val="none"/>
              </w:rPr>
            </w:pPr>
            <w:r>
              <w:rPr>
                <w:rFonts w:cs="Times New Roman"/>
                <w:sz w:val="24"/>
                <w:szCs w:val="24"/>
                <w:lang w:val="undefined" w:bidi="undefined"/>
              </w:rPr>
            </w:r>
            <w:r>
              <w:rPr>
                <w:rFonts w:cs="Times New Roman"/>
                <w:sz w:val="24"/>
                <w:szCs w:val="24"/>
                <w:lang w:val="undefined"/>
              </w:rPr>
              <w:t xml:space="preserve">Contract liquidation value</w:t>
            </w:r>
            <w:r>
              <w:rPr>
                <w:rFonts w:cs="Times New Roman"/>
                <w:sz w:val="24"/>
                <w:szCs w:val="24"/>
                <w:lang w:val="undefined" w:bidi="undefined"/>
              </w:rPr>
            </w:r>
            <w:r>
              <w:rPr>
                <w:rFonts w:cs="Times New Roman"/>
                <w:sz w:val="24"/>
                <w:szCs w:val="24"/>
                <w:lang w:val="undefined" w:bidi="undefined"/>
              </w:rPr>
            </w:r>
            <w:r>
              <w:rPr>
                <w:rFonts w:cs="Times New Roman"/>
                <w:sz w:val="24"/>
                <w:szCs w:val="24"/>
                <w:lang w:val="undefined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86.400.000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z w:val="24"/>
                <w:szCs w:val="24"/>
                <w14:ligatures w14:val="none"/>
              </w:rPr>
            </w:pPr>
            <w:r>
              <w:rPr>
                <w:rFonts w:cs="Times New Roman"/>
                <w:sz w:val="24"/>
                <w:szCs w:val="24"/>
                <w:lang w:val="undefined"/>
              </w:rPr>
              <w:t xml:space="preserve">Bên A đã thanh toán cho bên B</w:t>
            </w:r>
            <w:r>
              <w:rPr>
                <w:rFonts w:cs="Times New Roman"/>
                <w:sz w:val="24"/>
                <w:szCs w:val="24"/>
                <w:lang w:val="undefined"/>
              </w:rPr>
            </w:r>
          </w:p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z w:val="24"/>
                <w:szCs w:val="24"/>
                <w14:ligatures w14:val="none"/>
              </w:rPr>
            </w:pPr>
            <w:r>
              <w:rPr>
                <w:rFonts w:cs="Times New Roman"/>
                <w:sz w:val="24"/>
                <w:szCs w:val="24"/>
                <w:lang w:val="undefined" w:bidi="undefined"/>
              </w:rPr>
            </w:r>
            <w:r>
              <w:rPr>
                <w:rFonts w:cs="Times New Roman"/>
                <w:sz w:val="24"/>
                <w:szCs w:val="24"/>
                <w:lang w:val="undefined"/>
              </w:rPr>
              <w:t xml:space="preserve">Party A has paid Party B.</w:t>
            </w:r>
            <w:r>
              <w:rPr>
                <w:rFonts w:cs="Times New Roman"/>
                <w:sz w:val="24"/>
                <w:szCs w:val="24"/>
                <w:lang w:val="undefined" w:bidi="undefined"/>
              </w:rPr>
            </w:r>
            <w:r>
              <w:rPr>
                <w:rFonts w:cs="Times New Roman"/>
                <w:sz w:val="24"/>
                <w:szCs w:val="24"/>
                <w:lang w:val="undefined" w:bidi="undefined"/>
              </w:rPr>
            </w:r>
            <w:r>
              <w:rPr>
                <w:rFonts w:cs="Times New Roman"/>
                <w:sz w:val="24"/>
                <w:szCs w:val="24"/>
                <w:lang w:val="undefined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đồng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3870" w:type="dxa"/>
            <w:textDirection w:val="lrTb"/>
            <w:noWrap w:val="false"/>
          </w:tcPr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z w:val="24"/>
                <w:szCs w:val="24"/>
                <w14:ligatures w14:val="none"/>
              </w:rPr>
            </w:pPr>
            <w:r>
              <w:rPr>
                <w:rFonts w:cs="Times New Roman"/>
                <w:sz w:val="24"/>
                <w:szCs w:val="24"/>
                <w:lang w:val="undefined"/>
              </w:rPr>
              <w:t xml:space="preserve">Bên A còn phải thanh toán cho bên B</w:t>
            </w:r>
            <w:r>
              <w:rPr>
                <w:rFonts w:cs="Times New Roman"/>
                <w:sz w:val="24"/>
                <w:szCs w:val="24"/>
                <w:lang w:val="undefined"/>
              </w:rPr>
            </w:r>
          </w:p>
          <w:p>
            <w:pPr>
              <w:pStyle w:val="733"/>
              <w:pBdr/>
              <w:spacing w:after="40" w:before="40"/>
              <w:ind w:left="0"/>
              <w:jc w:val="both"/>
              <w:rPr>
                <w:rFonts w:cs="Times New Roman"/>
                <w:sz w:val="24"/>
                <w:szCs w:val="24"/>
                <w14:ligatures w14:val="none"/>
              </w:rPr>
            </w:pPr>
            <w:r>
              <w:rPr>
                <w:rFonts w:cs="Times New Roman"/>
                <w:sz w:val="24"/>
                <w:szCs w:val="24"/>
                <w:lang w:val="undefined" w:bidi="undefined"/>
              </w:rPr>
            </w:r>
            <w:r>
              <w:rPr>
                <w:rFonts w:cs="Times New Roman"/>
                <w:sz w:val="24"/>
                <w:szCs w:val="24"/>
                <w:lang w:val="undefined"/>
              </w:rPr>
              <w:t xml:space="preserve">Party A also has to pay Party B.</w:t>
            </w:r>
            <w:r>
              <w:rPr>
                <w:rFonts w:cs="Times New Roman"/>
                <w:sz w:val="24"/>
                <w:szCs w:val="24"/>
                <w:lang w:val="undefined" w:bidi="undefined"/>
              </w:rPr>
            </w:r>
            <w:r>
              <w:rPr>
                <w:rFonts w:cs="Times New Roman"/>
                <w:sz w:val="24"/>
                <w:szCs w:val="24"/>
                <w:lang w:val="undefined" w:bidi="undefined"/>
              </w:rPr>
            </w:r>
            <w:r>
              <w:rPr>
                <w:rFonts w:cs="Times New Roman"/>
                <w:sz w:val="24"/>
                <w:szCs w:val="24"/>
                <w:lang w:val="undefined"/>
              </w:rPr>
            </w:r>
          </w:p>
        </w:tc>
        <w:tc>
          <w:tcPr>
            <w:tcBorders/>
            <w:tcW w:w="282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/>
            <w:tcW w:w="3588" w:type="dxa"/>
            <w:textDirection w:val="lrTb"/>
            <w:noWrap w:val="false"/>
          </w:tcPr>
          <w:p>
            <w:pPr>
              <w:pBdr/>
              <w:spacing w:after="40" w:before="40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86.400.000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đồng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733"/>
        <w:pBdr/>
        <w:spacing w:after="120" w:before="120"/>
        <w:ind w:left="0"/>
        <w:jc w:val="center"/>
        <w:rPr>
          <w:rFonts w:cs="Times New Roman"/>
          <w:bCs/>
          <w:i/>
          <w:spacing w:val="-1"/>
          <w:sz w:val="24"/>
          <w:szCs w:val="24"/>
          <w:highlight w:val="none"/>
        </w:rPr>
      </w:pPr>
      <w:r>
        <w:rPr>
          <w:bCs/>
          <w:i/>
          <w:sz w:val="24"/>
          <w:szCs w:val="24"/>
        </w:rPr>
        <w:t xml:space="preserve">(Bằng chữ: </w:t>
      </w:r>
      <w:r>
        <w:rPr>
          <w:bCs/>
          <w:i/>
          <w:sz w:val="24"/>
          <w:szCs w:val="24"/>
        </w:rPr>
        <w:t xml:space="preserve">Tám mươi sáu triệu bốn trăn nghìn đồng</w:t>
      </w:r>
      <w:r>
        <w:rPr>
          <w:bCs/>
          <w:i/>
          <w:sz w:val="24"/>
          <w:szCs w:val="24"/>
        </w:rPr>
        <w:t xml:space="preserve">./.)</w:t>
      </w:r>
      <w:r>
        <w:rPr>
          <w:rFonts w:cs="Times New Roman"/>
          <w:i/>
          <w:spacing w:val="-1"/>
          <w:sz w:val="24"/>
          <w:szCs w:val="24"/>
        </w:rPr>
      </w:r>
      <w:r>
        <w:rPr>
          <w:rFonts w:cs="Times New Roman"/>
          <w:i/>
          <w:spacing w:val="-1"/>
          <w:sz w:val="24"/>
          <w:szCs w:val="24"/>
        </w:rPr>
      </w:r>
      <w:r>
        <w:rPr>
          <w:rFonts w:cs="Times New Roman"/>
          <w:i/>
          <w:spacing w:val="-1"/>
          <w:sz w:val="24"/>
          <w:szCs w:val="24"/>
          <w:highlight w:val="none"/>
        </w:rPr>
      </w:r>
      <w:r>
        <w:rPr>
          <w:rFonts w:cs="Times New Roman"/>
          <w:i/>
          <w:spacing w:val="-1"/>
          <w:sz w:val="24"/>
          <w:szCs w:val="24"/>
          <w:highlight w:val="none"/>
        </w:rPr>
      </w:r>
      <w:r>
        <w:rPr>
          <w:rFonts w:cs="Times New Roman"/>
          <w:i/>
          <w:spacing w:val="-1"/>
          <w:sz w:val="24"/>
          <w:szCs w:val="24"/>
          <w:highlight w:val="none"/>
        </w:rPr>
      </w:r>
      <w:r>
        <w:rPr>
          <w:rFonts w:cs="Times New Roman"/>
          <w:bCs/>
          <w:i/>
          <w:spacing w:val="-1"/>
          <w:sz w:val="24"/>
          <w:szCs w:val="24"/>
          <w:highlight w:val="none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pacing w:val="-1"/>
          <w:sz w:val="24"/>
          <w:szCs w:val="24"/>
          <w14:ligatures w14:val="none"/>
        </w:rPr>
      </w:pPr>
      <w:r>
        <w:rPr>
          <w:rFonts w:cs="Times New Roman"/>
          <w:spacing w:val="-1"/>
          <w:sz w:val="24"/>
          <w:szCs w:val="24"/>
        </w:rPr>
        <w:t xml:space="preserve">Hai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bên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nhất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trí</w:t>
      </w:r>
      <w:r>
        <w:rPr>
          <w:rFonts w:cs="Times New Roman"/>
          <w:spacing w:val="-1"/>
          <w:sz w:val="24"/>
          <w:szCs w:val="24"/>
        </w:rPr>
        <w:t xml:space="preserve"> nghiệm thu và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thanh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lý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Hợp đồng thẩm định giá số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275/2025/0162/VFI-HĐTĐ.21.A 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ký </w:t>
      </w:r>
      <w:r>
        <w:rPr>
          <w:rFonts w:cs="Times New Roman"/>
          <w:spacing w:val="-1"/>
          <w:sz w:val="24"/>
          <w:szCs w:val="24"/>
          <w:lang w:val="undefined"/>
        </w:rPr>
        <w:t xml:space="preserve">kết ngày 03/4/2026</w:t>
      </w:r>
      <w:r>
        <w:rPr>
          <w:rFonts w:cs="Times New Roman"/>
          <w:spacing w:val="-1"/>
          <w:sz w:val="24"/>
          <w:szCs w:val="24"/>
          <w:lang w:val="undefined"/>
        </w:rPr>
        <w:t xml:space="preserve">.</w:t>
      </w:r>
      <w:r>
        <w:rPr>
          <w:rFonts w:cs="Times New Roman"/>
          <w:spacing w:val="-1"/>
          <w:sz w:val="24"/>
          <w:szCs w:val="24"/>
          <w:lang w:val="undefined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z w:val="24"/>
          <w:szCs w:val="24"/>
        </w:rPr>
      </w:pPr>
      <w:r>
        <w:rPr>
          <w:rFonts w:cs="Times New Roman"/>
          <w:spacing w:val="-1"/>
          <w:sz w:val="24"/>
          <w:szCs w:val="24"/>
          <w:lang w:val="undefined" w:bidi="undefined"/>
        </w:rPr>
      </w:r>
      <w:r>
        <w:rPr>
          <w:rFonts w:cs="Times New Roman"/>
          <w:spacing w:val="-1"/>
          <w:sz w:val="24"/>
          <w:szCs w:val="24"/>
          <w:lang w:val="undefined"/>
        </w:rPr>
        <w:t xml:space="preserve">Both parties agree to accept and finalize Valuation Contract No. </w:t>
      </w:r>
      <w:r>
        <w:rPr>
          <w:rFonts w:cs="Times New Roman"/>
          <w:spacing w:val="-1"/>
          <w:sz w:val="24"/>
          <w:szCs w:val="24"/>
          <w:lang w:val="undefined"/>
        </w:rPr>
        <w:t xml:space="preserve">275/2025/0162/VFI-HDTD.21.A signed on April 03,</w:t>
      </w:r>
      <w:r>
        <w:rPr>
          <w:rFonts w:ascii="Times New Roman" w:hAnsi="Times New Roman" w:eastAsia="Times New Roman" w:cs="Times New Roman"/>
          <w:color w:val="000000"/>
          <w:spacing w:val="-4"/>
          <w:sz w:val="24"/>
        </w:rPr>
        <w:t xml:space="preserve"> 2026</w:t>
      </w:r>
      <w:r>
        <w:rPr>
          <w:rFonts w:cs="Times New Roman"/>
          <w:sz w:val="24"/>
          <w:szCs w:val="24"/>
          <w:highlight w:val="none"/>
        </w:rPr>
      </w:r>
      <w:r>
        <w:rPr>
          <w:rFonts w:cs="Times New Roman"/>
          <w:sz w:val="24"/>
          <w:szCs w:val="24"/>
          <w:highlight w:val="none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pacing w:val="-1"/>
          <w:sz w:val="24"/>
          <w:szCs w:val="24"/>
          <w:highlight w:val="none"/>
        </w:rPr>
      </w:pPr>
      <w:r>
        <w:rPr>
          <w:rFonts w:cs="Times New Roman"/>
          <w:spacing w:val="-1"/>
          <w:sz w:val="24"/>
          <w:szCs w:val="24"/>
        </w:rPr>
        <w:t xml:space="preserve">Biên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12"/>
          <w:sz w:val="24"/>
          <w:szCs w:val="24"/>
        </w:rPr>
        <w:t xml:space="preserve">nghiệm thu, </w:t>
      </w:r>
      <w:r>
        <w:rPr>
          <w:rFonts w:cs="Times New Roman"/>
          <w:spacing w:val="-1"/>
          <w:sz w:val="24"/>
          <w:szCs w:val="24"/>
        </w:rPr>
        <w:t xml:space="preserve">thanh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lý</w:t>
      </w:r>
      <w:r>
        <w:rPr>
          <w:rFonts w:cs="Times New Roman"/>
          <w:spacing w:val="-1"/>
          <w:sz w:val="24"/>
          <w:szCs w:val="24"/>
        </w:rPr>
        <w:t xml:space="preserve"> hợp đồng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được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lập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thành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2"/>
          <w:sz w:val="24"/>
          <w:szCs w:val="24"/>
        </w:rPr>
        <w:t xml:space="preserve">0</w:t>
      </w:r>
      <w:r>
        <w:rPr>
          <w:rFonts w:cs="Times New Roman"/>
          <w:spacing w:val="2"/>
          <w:sz w:val="24"/>
          <w:szCs w:val="24"/>
        </w:rPr>
        <w:t xml:space="preserve">4</w:t>
      </w:r>
      <w:r>
        <w:rPr>
          <w:rFonts w:cs="Times New Roman"/>
          <w:spacing w:val="15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bản</w:t>
      </w:r>
      <w:r>
        <w:rPr>
          <w:rFonts w:cs="Times New Roman"/>
          <w:spacing w:val="-1"/>
          <w:sz w:val="24"/>
          <w:szCs w:val="24"/>
        </w:rPr>
        <w:t xml:space="preserve">, </w:t>
      </w:r>
      <w:r>
        <w:rPr>
          <w:rFonts w:cs="Times New Roman"/>
          <w:spacing w:val="-1"/>
          <w:sz w:val="24"/>
          <w:szCs w:val="24"/>
        </w:rPr>
        <w:t xml:space="preserve">bên </w:t>
      </w:r>
      <w:r>
        <w:rPr>
          <w:rFonts w:cs="Times New Roman"/>
          <w:spacing w:val="-1"/>
          <w:sz w:val="24"/>
          <w:szCs w:val="24"/>
        </w:rPr>
        <w:t xml:space="preserve">A </w:t>
      </w:r>
      <w:r>
        <w:rPr>
          <w:rFonts w:cs="Times New Roman"/>
          <w:spacing w:val="-1"/>
          <w:sz w:val="24"/>
          <w:szCs w:val="24"/>
        </w:rPr>
        <w:t xml:space="preserve">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</w:t>
      </w:r>
      <w:r>
        <w:rPr>
          <w:rFonts w:cs="Times New Roman"/>
          <w:spacing w:val="-1"/>
          <w:sz w:val="24"/>
          <w:szCs w:val="24"/>
        </w:rPr>
        <w:t xml:space="preserve">, bên B giữ 0</w:t>
      </w:r>
      <w:r>
        <w:rPr>
          <w:rFonts w:cs="Times New Roman"/>
          <w:spacing w:val="-1"/>
          <w:sz w:val="24"/>
          <w:szCs w:val="24"/>
        </w:rPr>
        <w:t xml:space="preserve">2</w:t>
      </w:r>
      <w:r>
        <w:rPr>
          <w:rFonts w:cs="Times New Roman"/>
          <w:spacing w:val="-1"/>
          <w:sz w:val="24"/>
          <w:szCs w:val="24"/>
        </w:rPr>
        <w:t xml:space="preserve"> bản và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có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giá</w:t>
      </w:r>
      <w:r>
        <w:rPr>
          <w:rFonts w:cs="Times New Roman"/>
          <w:spacing w:val="1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trị</w:t>
      </w:r>
      <w:r>
        <w:rPr>
          <w:rFonts w:cs="Times New Roman"/>
          <w:spacing w:val="14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như</w:t>
      </w:r>
      <w:r>
        <w:rPr>
          <w:rFonts w:cs="Times New Roman"/>
          <w:spacing w:val="12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nhau</w:t>
      </w:r>
      <w:r>
        <w:rPr>
          <w:rFonts w:cs="Times New Roman"/>
          <w:spacing w:val="-1"/>
          <w:sz w:val="24"/>
          <w:szCs w:val="24"/>
        </w:rPr>
        <w:t xml:space="preserve">.</w:t>
      </w:r>
      <w:r>
        <w:rPr>
          <w:rFonts w:cs="Times New Roman"/>
          <w:sz w:val="24"/>
          <w:szCs w:val="24"/>
        </w:rPr>
      </w:r>
    </w:p>
    <w:p>
      <w:pPr>
        <w:pStyle w:val="733"/>
        <w:pBdr/>
        <w:spacing w:after="120" w:before="120" w:line="312" w:lineRule="auto"/>
        <w:ind w:left="0"/>
        <w:jc w:val="both"/>
        <w:rPr>
          <w:rFonts w:cs="Times New Roman"/>
          <w:spacing w:val="12"/>
          <w:sz w:val="24"/>
          <w:szCs w:val="24"/>
          <w14:ligatures w14:val="none"/>
        </w:rPr>
      </w:pPr>
      <w:r>
        <w:rPr>
          <w:rFonts w:cs="Times New Roman"/>
          <w:spacing w:val="12"/>
          <w:sz w:val="24"/>
          <w:szCs w:val="24"/>
          <w:lang w:val="undefined" w:bidi="undefined"/>
        </w:rPr>
      </w:r>
      <w:r>
        <w:rPr>
          <w:rFonts w:cs="Times New Roman"/>
          <w:spacing w:val="12"/>
          <w:sz w:val="24"/>
          <w:szCs w:val="24"/>
          <w:lang w:val="undefined"/>
        </w:rPr>
        <w:t xml:space="preserve">The contract acceptance and settlement minutes are prepared in four copies, Party A keeps two copies, Party B keeps two copies, and all copies are equally valid.</w:t>
      </w:r>
      <w:r>
        <w:rPr>
          <w:rFonts w:cs="Times New Roman"/>
          <w:spacing w:val="12"/>
          <w:sz w:val="24"/>
          <w:szCs w:val="24"/>
          <w:lang w:val="undefined" w:bidi="undefined"/>
        </w:rPr>
      </w:r>
      <w:r>
        <w:rPr>
          <w:rFonts w:cs="Times New Roman"/>
          <w:spacing w:val="12"/>
          <w:sz w:val="24"/>
          <w:szCs w:val="24"/>
          <w:lang w:val="undefined"/>
        </w:rPr>
      </w:r>
    </w:p>
    <w:p>
      <w:pPr>
        <w:pStyle w:val="729"/>
        <w:pBdr/>
        <w:tabs>
          <w:tab w:val="left" w:leader="none" w:pos="6640"/>
        </w:tabs>
        <w:spacing/>
        <w:ind/>
        <w:rPr>
          <w:rFonts w:cs="Times New Roman"/>
          <w:b w:val="0"/>
          <w:bCs w:val="0"/>
          <w:sz w:val="24"/>
          <w:szCs w:val="24"/>
        </w:rPr>
      </w:pPr>
      <w:r>
        <w:rPr>
          <w:rFonts w:cs="Times New Roman"/>
          <w:spacing w:val="-2"/>
          <w:position w:val="-5"/>
          <w:sz w:val="24"/>
          <w:szCs w:val="24"/>
        </w:rPr>
        <w:t xml:space="preserve">          </w:t>
      </w:r>
      <w:r>
        <w:rPr>
          <w:rFonts w:cs="Times New Roman"/>
          <w:spacing w:val="-2"/>
          <w:position w:val="-5"/>
          <w:sz w:val="24"/>
          <w:szCs w:val="24"/>
        </w:rPr>
        <w:t xml:space="preserve">ĐẠI</w:t>
      </w:r>
      <w:r>
        <w:rPr>
          <w:rFonts w:cs="Times New Roman"/>
          <w:spacing w:val="1"/>
          <w:position w:val="-5"/>
          <w:sz w:val="24"/>
          <w:szCs w:val="24"/>
        </w:rPr>
        <w:t xml:space="preserve"> </w:t>
      </w:r>
      <w:r>
        <w:rPr>
          <w:rFonts w:cs="Times New Roman"/>
          <w:spacing w:val="-1"/>
          <w:position w:val="-5"/>
          <w:sz w:val="24"/>
          <w:szCs w:val="24"/>
        </w:rPr>
        <w:t xml:space="preserve">DIỆN </w:t>
      </w:r>
      <w:r>
        <w:rPr>
          <w:rFonts w:cs="Times New Roman"/>
          <w:position w:val="-5"/>
          <w:sz w:val="24"/>
          <w:szCs w:val="24"/>
        </w:rPr>
        <w:t xml:space="preserve">BÊN</w:t>
      </w:r>
      <w:r>
        <w:rPr>
          <w:rFonts w:cs="Times New Roman"/>
          <w:spacing w:val="-2"/>
          <w:position w:val="-5"/>
          <w:sz w:val="24"/>
          <w:szCs w:val="24"/>
        </w:rPr>
        <w:t xml:space="preserve"> </w:t>
      </w:r>
      <w:r>
        <w:rPr>
          <w:rFonts w:cs="Times New Roman"/>
          <w:position w:val="-5"/>
          <w:sz w:val="24"/>
          <w:szCs w:val="24"/>
        </w:rPr>
        <w:t xml:space="preserve">A</w:t>
      </w:r>
      <w:r>
        <w:rPr>
          <w:rFonts w:cs="Times New Roman"/>
          <w:position w:val="-5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 xml:space="preserve">ĐẠI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1"/>
          <w:sz w:val="24"/>
          <w:szCs w:val="24"/>
        </w:rPr>
        <w:t xml:space="preserve">DIỆN </w:t>
      </w:r>
      <w:r>
        <w:rPr>
          <w:rFonts w:cs="Times New Roman"/>
          <w:sz w:val="24"/>
          <w:szCs w:val="24"/>
        </w:rPr>
        <w:t xml:space="preserve">BÊN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B</w:t>
      </w:r>
      <w:r>
        <w:rPr>
          <w:rFonts w:cs="Times New Roman"/>
          <w:b w:val="0"/>
          <w:bCs w:val="0"/>
          <w:sz w:val="24"/>
          <w:szCs w:val="24"/>
        </w:rPr>
      </w:r>
    </w:p>
    <w:sectPr>
      <w:footerReference w:type="default" r:id="rId9"/>
      <w:footnotePr/>
      <w:endnotePr/>
      <w:type w:val="nextPage"/>
      <w:pgSz w:h="16850" w:orient="portrait" w:w="11910"/>
      <w:pgMar w:top="993" w:right="570" w:bottom="280" w:left="1300" w:header="720" w:footer="4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.VnTime">
    <w:panose1 w:val="020B0603030804020204"/>
  </w:font>
  <w:font w:name="TimesNewRomanPSMT">
    <w:panose1 w:val="020206030504050203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072955867"/>
      <w:docPartObj>
        <w:docPartGallery w:val="Page Numbers (Bottom of Page)"/>
        <w:docPartUnique w:val="true"/>
      </w:docPartObj>
      <w:rPr/>
    </w:sdtPr>
    <w:sdtContent>
      <w:p>
        <w:pPr>
          <w:pStyle w:val="749"/>
          <w:pBdr/>
          <w:spacing/>
          <w:ind/>
          <w:jc w:val="center"/>
          <w:rPr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74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A7103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cstheme="minorBidi"/>
        <w:b/>
        <w:color w:val="auto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5496D7F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</w:rPr>
      <w:start w:val="15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3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2"/>
    <w:basedOn w:val="728"/>
    <w:next w:val="72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28"/>
    <w:next w:val="728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28"/>
    <w:next w:val="72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28"/>
    <w:next w:val="728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28"/>
    <w:next w:val="72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28"/>
    <w:next w:val="728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28"/>
    <w:next w:val="728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28"/>
    <w:next w:val="728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30"/>
    <w:link w:val="7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3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3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3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3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30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3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28"/>
    <w:next w:val="728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30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28"/>
    <w:next w:val="728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3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28"/>
    <w:next w:val="728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3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28"/>
    <w:next w:val="728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3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28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3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80">
    <w:name w:val="Caption"/>
    <w:basedOn w:val="728"/>
    <w:next w:val="72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28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3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28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3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30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7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7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28"/>
    <w:next w:val="728"/>
    <w:uiPriority w:val="39"/>
    <w:unhideWhenUsed/>
    <w:pPr>
      <w:pBdr/>
      <w:spacing w:after="100"/>
      <w:ind/>
    </w:pPr>
  </w:style>
  <w:style w:type="paragraph" w:styleId="190">
    <w:name w:val="toc 2"/>
    <w:basedOn w:val="728"/>
    <w:next w:val="728"/>
    <w:uiPriority w:val="39"/>
    <w:unhideWhenUsed/>
    <w:pPr>
      <w:pBdr/>
      <w:spacing w:after="100"/>
      <w:ind w:left="220"/>
    </w:pPr>
  </w:style>
  <w:style w:type="paragraph" w:styleId="191">
    <w:name w:val="toc 3"/>
    <w:basedOn w:val="728"/>
    <w:next w:val="728"/>
    <w:uiPriority w:val="39"/>
    <w:unhideWhenUsed/>
    <w:pPr>
      <w:pBdr/>
      <w:spacing w:after="100"/>
      <w:ind w:left="440"/>
    </w:pPr>
  </w:style>
  <w:style w:type="paragraph" w:styleId="192">
    <w:name w:val="toc 4"/>
    <w:basedOn w:val="728"/>
    <w:next w:val="728"/>
    <w:uiPriority w:val="39"/>
    <w:unhideWhenUsed/>
    <w:pPr>
      <w:pBdr/>
      <w:spacing w:after="100"/>
      <w:ind w:left="660"/>
    </w:pPr>
  </w:style>
  <w:style w:type="paragraph" w:styleId="193">
    <w:name w:val="toc 5"/>
    <w:basedOn w:val="728"/>
    <w:next w:val="728"/>
    <w:uiPriority w:val="39"/>
    <w:unhideWhenUsed/>
    <w:pPr>
      <w:pBdr/>
      <w:spacing w:after="100"/>
      <w:ind w:left="880"/>
    </w:pPr>
  </w:style>
  <w:style w:type="paragraph" w:styleId="194">
    <w:name w:val="toc 6"/>
    <w:basedOn w:val="728"/>
    <w:next w:val="728"/>
    <w:uiPriority w:val="39"/>
    <w:unhideWhenUsed/>
    <w:pPr>
      <w:pBdr/>
      <w:spacing w:after="100"/>
      <w:ind w:left="1100"/>
    </w:pPr>
  </w:style>
  <w:style w:type="paragraph" w:styleId="195">
    <w:name w:val="toc 7"/>
    <w:basedOn w:val="728"/>
    <w:next w:val="728"/>
    <w:uiPriority w:val="39"/>
    <w:unhideWhenUsed/>
    <w:pPr>
      <w:pBdr/>
      <w:spacing w:after="100"/>
      <w:ind w:left="1320"/>
    </w:pPr>
  </w:style>
  <w:style w:type="paragraph" w:styleId="196">
    <w:name w:val="toc 8"/>
    <w:basedOn w:val="728"/>
    <w:next w:val="728"/>
    <w:uiPriority w:val="39"/>
    <w:unhideWhenUsed/>
    <w:pPr>
      <w:pBdr/>
      <w:spacing w:after="100"/>
      <w:ind w:left="1540"/>
    </w:pPr>
  </w:style>
  <w:style w:type="paragraph" w:styleId="197">
    <w:name w:val="toc 9"/>
    <w:basedOn w:val="728"/>
    <w:next w:val="728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3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28"/>
    <w:next w:val="728"/>
    <w:uiPriority w:val="99"/>
    <w:unhideWhenUsed/>
    <w:pPr>
      <w:pBdr/>
      <w:spacing w:after="0" w:afterAutospacing="0"/>
      <w:ind/>
    </w:pPr>
  </w:style>
  <w:style w:type="paragraph" w:styleId="728" w:default="1">
    <w:name w:val="Normal"/>
    <w:uiPriority w:val="1"/>
    <w:qFormat/>
    <w:pPr>
      <w:pBdr/>
      <w:spacing/>
      <w:ind/>
    </w:pPr>
  </w:style>
  <w:style w:type="paragraph" w:styleId="729">
    <w:name w:val="Heading 1"/>
    <w:basedOn w:val="728"/>
    <w:uiPriority w:val="1"/>
    <w:qFormat/>
    <w:pPr>
      <w:pBdr/>
      <w:spacing/>
      <w:ind w:left="118"/>
      <w:outlineLvl w:val="0"/>
    </w:pPr>
    <w:rPr>
      <w:rFonts w:ascii="Times New Roman" w:hAnsi="Times New Roman" w:eastAsia="Times New Roman"/>
      <w:b/>
      <w:bCs/>
      <w:sz w:val="28"/>
      <w:szCs w:val="28"/>
    </w:rPr>
  </w:style>
  <w:style w:type="character" w:styleId="730" w:default="1">
    <w:name w:val="Default Paragraph Font"/>
    <w:uiPriority w:val="1"/>
    <w:semiHidden/>
    <w:unhideWhenUsed/>
    <w:pPr>
      <w:pBdr/>
      <w:spacing/>
      <w:ind/>
    </w:pPr>
  </w:style>
  <w:style w:type="table" w:styleId="7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32" w:default="1">
    <w:name w:val="No List"/>
    <w:uiPriority w:val="99"/>
    <w:semiHidden/>
    <w:unhideWhenUsed/>
    <w:pPr>
      <w:pBdr/>
      <w:spacing/>
      <w:ind/>
    </w:pPr>
  </w:style>
  <w:style w:type="paragraph" w:styleId="733">
    <w:name w:val="Body Text"/>
    <w:basedOn w:val="728"/>
    <w:link w:val="745"/>
    <w:uiPriority w:val="1"/>
    <w:qFormat/>
    <w:pPr>
      <w:pBdr/>
      <w:spacing/>
      <w:ind w:left="118"/>
    </w:pPr>
    <w:rPr>
      <w:rFonts w:ascii="Times New Roman" w:hAnsi="Times New Roman" w:eastAsia="Times New Roman"/>
      <w:sz w:val="28"/>
      <w:szCs w:val="28"/>
    </w:rPr>
  </w:style>
  <w:style w:type="paragraph" w:styleId="734">
    <w:name w:val="List Paragraph"/>
    <w:basedOn w:val="728"/>
    <w:uiPriority w:val="34"/>
    <w:qFormat/>
    <w:pPr>
      <w:pBdr/>
      <w:spacing/>
      <w:ind/>
    </w:pPr>
  </w:style>
  <w:style w:type="paragraph" w:styleId="735" w:customStyle="1">
    <w:name w:val="Table Paragraph"/>
    <w:basedOn w:val="728"/>
    <w:uiPriority w:val="1"/>
    <w:qFormat/>
    <w:pPr>
      <w:pBdr/>
      <w:spacing/>
      <w:ind/>
    </w:pPr>
  </w:style>
  <w:style w:type="table" w:styleId="736">
    <w:name w:val="Table Grid"/>
    <w:basedOn w:val="731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37">
    <w:name w:val="annotation reference"/>
    <w:basedOn w:val="730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738">
    <w:name w:val="annotation text"/>
    <w:basedOn w:val="728"/>
    <w:link w:val="739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739" w:customStyle="1">
    <w:name w:val="Comment Text Char"/>
    <w:basedOn w:val="730"/>
    <w:link w:val="738"/>
    <w:uiPriority w:val="99"/>
    <w:semiHidden/>
    <w:pPr>
      <w:pBdr/>
      <w:spacing/>
      <w:ind/>
    </w:pPr>
    <w:rPr>
      <w:sz w:val="20"/>
      <w:szCs w:val="20"/>
    </w:rPr>
  </w:style>
  <w:style w:type="paragraph" w:styleId="740">
    <w:name w:val="annotation subject"/>
    <w:basedOn w:val="738"/>
    <w:next w:val="738"/>
    <w:link w:val="741"/>
    <w:uiPriority w:val="99"/>
    <w:semiHidden/>
    <w:unhideWhenUsed/>
    <w:pPr>
      <w:pBdr/>
      <w:spacing/>
      <w:ind/>
    </w:pPr>
    <w:rPr>
      <w:b/>
      <w:bCs/>
    </w:rPr>
  </w:style>
  <w:style w:type="character" w:styleId="741" w:customStyle="1">
    <w:name w:val="Comment Subject Char"/>
    <w:basedOn w:val="739"/>
    <w:link w:val="740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742">
    <w:name w:val="Balloon Text"/>
    <w:basedOn w:val="728"/>
    <w:link w:val="74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743" w:customStyle="1">
    <w:name w:val="Balloon Text Char"/>
    <w:basedOn w:val="730"/>
    <w:link w:val="74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744" w:customStyle="1">
    <w:name w:val="fontstyle01"/>
    <w:basedOn w:val="730"/>
    <w:pPr>
      <w:pBdr/>
      <w:spacing/>
      <w:ind/>
    </w:pPr>
    <w:rPr>
      <w:rFonts w:hint="default"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styleId="745" w:customStyle="1">
    <w:name w:val="Body Text Char"/>
    <w:basedOn w:val="730"/>
    <w:link w:val="733"/>
    <w:uiPriority w:val="1"/>
    <w:pPr>
      <w:pBdr/>
      <w:spacing/>
      <w:ind/>
    </w:pPr>
    <w:rPr>
      <w:rFonts w:ascii="Times New Roman" w:hAnsi="Times New Roman" w:eastAsia="Times New Roman"/>
      <w:sz w:val="28"/>
      <w:szCs w:val="28"/>
    </w:rPr>
  </w:style>
  <w:style w:type="character" w:styleId="746" w:customStyle="1">
    <w:name w:val="normal-h1"/>
    <w:pPr>
      <w:pBdr/>
      <w:spacing/>
      <w:ind/>
    </w:pPr>
    <w:rPr>
      <w:rFonts w:hint="default" w:ascii=".VnTime" w:hAnsi=".VnTime"/>
      <w:color w:val="0000ff"/>
      <w:sz w:val="24"/>
      <w:szCs w:val="24"/>
    </w:rPr>
  </w:style>
  <w:style w:type="paragraph" w:styleId="747">
    <w:name w:val="Header"/>
    <w:basedOn w:val="728"/>
    <w:link w:val="748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48" w:customStyle="1">
    <w:name w:val="Header Char"/>
    <w:basedOn w:val="730"/>
    <w:link w:val="747"/>
    <w:uiPriority w:val="99"/>
    <w:pPr>
      <w:pBdr/>
      <w:spacing/>
      <w:ind/>
    </w:pPr>
  </w:style>
  <w:style w:type="paragraph" w:styleId="749">
    <w:name w:val="Footer"/>
    <w:basedOn w:val="728"/>
    <w:link w:val="750"/>
    <w:uiPriority w:val="99"/>
    <w:unhideWhenUsed/>
    <w:pPr>
      <w:pBdr/>
      <w:tabs>
        <w:tab w:val="center" w:leader="none" w:pos="4680"/>
        <w:tab w:val="right" w:leader="none" w:pos="9360"/>
      </w:tabs>
      <w:spacing/>
      <w:ind/>
    </w:pPr>
  </w:style>
  <w:style w:type="character" w:styleId="750" w:customStyle="1">
    <w:name w:val="Footer Char"/>
    <w:basedOn w:val="730"/>
    <w:link w:val="749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onlyoffice/9.1.0.1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LegiaITC</dc:creator>
  <cp:lastModifiedBy>Đinh Thị Lan Hương</cp:lastModifiedBy>
  <cp:revision>26</cp:revision>
  <dcterms:created xsi:type="dcterms:W3CDTF">2025-08-29T02:15:00Z</dcterms:created>
  <dcterms:modified xsi:type="dcterms:W3CDTF">2026-06-04T03:21:19Z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2015-12-22T00:00:00Z</vt:filetime>
  </property>
  <property fmtid="{D5CDD505-2E9C-101B-9397-08002B2CF9AE}" pid="3" name="LastSaved">
    <vt:filetime>2017-07-12T00:00:00Z</vt:filetime>
  </property>
</Properties>
</file>