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275/2026/0331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25 tháng 02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275/2026/0331/VFI-HĐTĐ.01ĐN.A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25/02/2026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Nguyễn Thành Vi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Nguyễn Thành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048086007126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Tổ 9,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phường Hoà Phát, quận Cẩm Lệ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nay là phường An Khê, TP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CP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275/2026/0331/VFI-HĐTĐ.01ĐN.A</w:t>
      </w:r>
      <w:r>
        <w:rPr>
          <w:rFonts w:cs="Times New Roman"/>
          <w:sz w:val="24"/>
          <w:szCs w:val="24"/>
        </w:rPr>
        <w:t xml:space="preserve"> ký </w:t>
      </w:r>
      <w:r>
        <w:rPr>
          <w:rFonts w:cs="Times New Roman"/>
          <w:i w:val="0"/>
          <w:iCs w:val="0"/>
          <w:sz w:val="24"/>
          <w:szCs w:val="24"/>
        </w:rPr>
        <w:t xml:space="preserve">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25/02/2026</w:t>
      </w:r>
      <w:r>
        <w:rPr>
          <w:rFonts w:cs="Times New Roman"/>
          <w:i w:val="0"/>
          <w:iCs w:val="0"/>
          <w:sz w:val="24"/>
          <w:szCs w:val="24"/>
        </w:rPr>
        <w:t xml:space="preserve"> gi</w:t>
      </w:r>
      <w:r>
        <w:rPr>
          <w:rFonts w:cs="Times New Roman"/>
          <w:sz w:val="24"/>
          <w:szCs w:val="24"/>
        </w:rPr>
        <w:t xml:space="preserve">ữa </w:t>
      </w:r>
      <w:r>
        <w:rPr>
          <w:rFonts w:cs="Times New Roman"/>
          <w:sz w:val="24"/>
          <w:szCs w:val="24"/>
        </w:rPr>
        <w:t xml:space="preserve">Nguyễn Thành Vi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1.179.000.000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275/2026/0331/VFI-HĐTĐ.01ĐN.A</w:t>
      </w:r>
      <w:r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25/02/2026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2026-02-26T01:01:32Z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