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275/2026/0137/VFI-BBNT&amp;TL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19 tháng 01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275/2026/0137/VFI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-HĐTĐ.01ĐN.A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19/01/2026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Ông Nguyễn Hữu Đạt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và Bà Phạm Thuỳ Dương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Ông Nguyễn Hữu Đạt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031086012140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Tổ 15, phường Trần Thành Ngọ, quận Kiến An, TP Hải Phòng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pacing w:val="-6"/>
                <w:sz w:val="24"/>
              </w:rPr>
              <w:t xml:space="preserve">Nay là Tổ 9, phường Phù Liễn, TP Hải Phòng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275/2026/0137/VFI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-HĐTĐ.01ĐN.A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19/01/2026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Ông Nguyễn Hữu Đạt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21.238.000.000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7.272.727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727.273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8.000.000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8.000.000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8.000.000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Tám triệu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275/2026/0137/VFI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-HĐTĐ.01ĐN.A </w:t>
      </w:r>
      <w:r>
        <w:rPr>
          <w:rFonts w:cs="Times New Roman"/>
          <w:sz w:val="24"/>
          <w:szCs w:val="24"/>
        </w:rPr>
        <w:t xml:space="preserve">ký ngày </w:t>
      </w:r>
      <w:r>
        <w:rPr>
          <w:rFonts w:cs="Times New Roman"/>
          <w:sz w:val="24"/>
          <w:szCs w:val="24"/>
        </w:rPr>
        <w:t xml:space="preserve">19/01/2026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2026-01-21T08:23:50Z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