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275/2026/0021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.... tháng ....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thẩm định giá số: 275/2026/0021/VFI-HĐTĐ.39.A ký ngày 05 tháng 01 năm 2026 giữa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Công ty TNHH Quốc Tế Yuu Chang Việt Nam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với 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CÔNG TY TNHH QUỐC TẾ YUU CHANG VIỆT NAM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Mã số thuế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3702592708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Một phần lô A7 (Ô A7.2), Đường N3, Khu B, Khu công nghiệp Đất Cuốc, Xã Bắc Tân Uyên, Thành phố Hồ Chí Minh, Việt Nam.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Đại diện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Xiao Zhi 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Chức vụ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Giám đốc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 thanh lý </w:t>
      </w:r>
      <w:r>
        <w:rPr>
          <w:rFonts w:cs="Times New Roman"/>
          <w:sz w:val="24"/>
          <w:szCs w:val="24"/>
        </w:rPr>
        <w:t xml:space="preserve">Hợp đồng dịch vụ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thẩm định giá số: 275/2026/0021/VFI-HĐTĐ.39.A ký ngày 05 tháng 01 năm 2026 giữa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Công ty TNHH Quốc Tế Yuu Chang Việt Nam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với 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Công ty Cổ phần Thẩm định và Đầu tư Tài chính Hoa Sen</w:t>
      </w:r>
      <w:r>
        <w:rPr>
          <w:rFonts w:cs="Times New Roman"/>
          <w:sz w:val="24"/>
          <w:szCs w:val="24"/>
        </w:rPr>
      </w:r>
      <w:r>
        <w:rPr>
          <w:spacing w:val="-4"/>
          <w:sz w:val="24"/>
          <w:szCs w:val="24"/>
        </w:rPr>
        <w:t xml:space="preserve"> 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99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40" w:line="288" w:lineRule="auto"/>
              <w:ind w:right="0" w:firstLine="0" w:left="0"/>
              <w:jc w:val="right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84.420.300.000</w:t>
            </w:r>
            <w:r/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6.800.000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544.000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7.344.000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7.344.000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7.344.000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7.344.000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không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275/2026/0021/VFI-HĐTĐ.39.A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sz w:val="24"/>
          <w:szCs w:val="24"/>
        </w:rPr>
        <w:t xml:space="preserve">5/1/2026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26</cp:revision>
  <dcterms:created xsi:type="dcterms:W3CDTF">2025-08-29T02:15:00Z</dcterms:created>
  <dcterms:modified xsi:type="dcterms:W3CDTF">2026-02-27T05:01:57Z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