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 w14:paraId="38AFFC4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 w14:paraId="526DED4F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E35CE68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13C5C6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 w14:paraId="1DCC587A" w14:textId="524C7322"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HSTD-20251212-0004/TLHĐ-VFI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22 tháng 12 năm 2025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36B0D59" w14:textId="77777777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7CEBDEAD" w14:textId="4E35CF99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 w14:paraId="39D87485" w14:textId="6A035AA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HSTD-20251212-0004/HĐTĐ-VFI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18/12/2025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 w14:paraId="33230702" w14:textId="462B834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06810CE4" w14:textId="7116F1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FD84B9D" w14:textId="0783B31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7D99622" w14:textId="29A99EED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1319ADF7" w14:textId="59BC178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5B33A09E" w14:textId="4AB99581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6A5A21A" w14:textId="45451AD4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665C572E" w14:textId="67CE32F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7F89781E" w14:textId="369C4BE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7D21321" w14:textId="3EBE7349"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35D20F9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16C6ADA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F0188A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D58A7E4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D2DB07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CD8A35F" w14:textId="60B1596E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B87B42C" w14:textId="2289836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6017C75C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B480A4A" w14:textId="3A38704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A11C996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6F66B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7C56C8E" w14:textId="5EE80A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ED03FD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62EE9E2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0CF72D3" w14:textId="29A9E5A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C4325EC" w14:textId="530F8F2A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12B28B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3582FE0" w14:textId="47DC6B9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41071906" w14:textId="301997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4857E38E" w14:textId="718D5C4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C19966" w14:textId="14C5B59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49AE752" w14:textId="2FA5040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5A93045" w14:textId="689834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76ADAE17" w14:textId="4C7C026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EA9844E" w14:textId="585F88D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845891E" w14:textId="5D9F177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AA0323" w14:textId="51A6182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 w14:paraId="690C0970" w14:textId="2EEC72DA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HSTD-20251212-0004/HĐTĐ-VFI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18/12/2025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 w14:paraId="7178BBA6" w14:textId="49CE0133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3AFD382B" w14:textId="18EE2996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D2E2B6B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449964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25BD4C00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9555E1E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0B089718" w14:textId="42C86E0F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6399204D" w14:textId="32576CF9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6.525.000.000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32042F31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65933CEC" w14:textId="1B093B13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5C950692" w14:textId="3E06C15F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1C771340" w14:textId="60088AC9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2A2F2E" w14:textId="5BE7D2EB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3060C2A4" w14:textId="65822CBB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2D04DD57" w14:textId="06C5895D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2EAC2301" w14:textId="66383B48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1CC7B362" w14:textId="709B5592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 w14:paraId="0BE4567D" w14:textId="5E5E7B73"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69B2C79C" w14:textId="77777777"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 w14:paraId="54223563" w14:textId="75E6666D"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 w14:paraId="6061874F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1890BD57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03BC6BB4" w14:textId="6AE7685C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3.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000.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3D6A3A2A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2F462138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30753185" w14:textId="2E295717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70275BE1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30FCB15D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692D028B" w14:textId="4F7354AA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439895CD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4FB7B675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55DF904D" w14:textId="7F195405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389EF98D" w14:textId="0C82178E"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Không</w:t>
      </w:r>
      <w:r>
        <w:rPr>
          <w:bCs/>
          <w:i/>
          <w:sz w:val="24"/>
          <w:szCs w:val="24"/>
        </w:rPr>
        <w:t xml:space="preserve">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 w14:paraId="4A3F1614" w14:textId="4CBAB705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  <w:t xml:space="preserve">HSTD-20251212-0004/HĐTĐ-VFI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18/12/2025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713EC7D1" w14:textId="23115570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4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4902FE87" w14:textId="4FD866A5"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Hồng Ngọc</cp:lastModifiedBy>
  <cp:revision>28</cp:revision>
  <dcterms:created xsi:type="dcterms:W3CDTF">2025-08-29T02:15:00Z</dcterms:created>
  <dcterms:modified xsi:type="dcterms:W3CDTF">2025-12-22T08:33:49Z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