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Style w:val="1033"/>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053"/>
        <w:gridCol w:w="5631"/>
      </w:tblGrid>
      <w:tr>
        <w:trPr>
          <w:trHeight w:val="898"/>
        </w:trPr>
        <w:tc>
          <w:tcPr>
            <w:gridSpan w:val="2"/>
            <w:tcBorders/>
            <w:tcMar>
              <w:left w:w="108" w:type="dxa"/>
              <w:top w:w="0" w:type="dxa"/>
              <w:right w:w="108" w:type="dxa"/>
              <w:bottom w:w="0" w:type="dxa"/>
            </w:tcMar>
            <w:tcW w:w="9684" w:type="dxa"/>
            <w:vAlign w:val="top"/>
            <w:textDirection w:val="lrTb"/>
            <w:noWrap w:val="false"/>
          </w:tcPr>
          <w:p>
            <w:pPr>
              <w:pBdr>
                <w:top w:val="none" w:color="000000" w:sz="4" w:space="0"/>
                <w:left w:val="none" w:color="000000" w:sz="4" w:space="0"/>
                <w:bottom w:val="none" w:color="000000" w:sz="4" w:space="0"/>
                <w:right w:val="none" w:color="000000" w:sz="4" w:space="0"/>
              </w:pBdr>
              <w:tabs>
                <w:tab w:val="left" w:leader="none" w:pos="8931"/>
              </w:tabs>
              <w:spacing w:after="0" w:line="288" w:lineRule="auto"/>
              <w:ind w:right="0" w:firstLine="0" w:left="0"/>
              <w:jc w:val="center"/>
              <w:rPr/>
            </w:pPr>
            <w:r>
              <w:rPr>
                <w:rFonts w:ascii="Times New Roman" w:hAnsi="Times New Roman" w:eastAsia="Times New Roman" w:cs="Times New Roman"/>
                <w:b/>
                <w:color w:val="000000"/>
                <w:sz w:val="24"/>
              </w:rPr>
              <w:t xml:space="preserve">CỘNG HOÀ XÃ HỘI CHỦ NGHĨA VIỆT NAM</w:t>
            </w:r>
            <w:r/>
          </w:p>
          <w:p>
            <w:pPr>
              <w:pBdr>
                <w:top w:val="none" w:color="000000" w:sz="4" w:space="0"/>
                <w:left w:val="none" w:color="000000" w:sz="4" w:space="0"/>
                <w:bottom w:val="none" w:color="000000" w:sz="4" w:space="0"/>
                <w:right w:val="none" w:color="000000" w:sz="4" w:space="0"/>
              </w:pBdr>
              <w:tabs>
                <w:tab w:val="left" w:leader="none" w:pos="8931"/>
              </w:tabs>
              <w:spacing w:line="288" w:lineRule="auto"/>
              <w:ind w:right="0" w:firstLine="0" w:left="0"/>
              <w:jc w:val="center"/>
              <w:rPr/>
            </w:pPr>
            <w:r>
              <w:rPr>
                <w:rFonts w:ascii="Times New Roman" w:hAnsi="Times New Roman" w:eastAsia="Times New Roman" w:cs="Times New Roman"/>
                <w:b/>
                <w:color w:val="000000"/>
                <w:sz w:val="24"/>
              </w:rPr>
              <w:t xml:space="preserve">Độc lập - Tự do – Hạnh phúc</w:t>
            </w:r>
            <w:r/>
          </w:p>
          <w:p>
            <w:pPr>
              <w:pBdr>
                <w:top w:val="none" w:color="000000" w:sz="4" w:space="0"/>
                <w:left w:val="none" w:color="000000" w:sz="4" w:space="0"/>
                <w:bottom w:val="none" w:color="000000" w:sz="4" w:space="0"/>
                <w:right w:val="none" w:color="000000" w:sz="4" w:space="0"/>
              </w:pBdr>
              <w:tabs>
                <w:tab w:val="left" w:leader="none" w:pos="8931"/>
              </w:tabs>
              <w:spacing w:line="288" w:lineRule="auto"/>
              <w:ind w:right="0" w:firstLine="0" w:left="0"/>
              <w:jc w:val="center"/>
              <w:rPr/>
            </w:pPr>
            <w:r>
              <w:rPr>
                <w:rFonts w:ascii="Times New Roman" w:hAnsi="Times New Roman" w:eastAsia="Times New Roman" w:cs="Times New Roman"/>
                <w:b/>
                <w:color w:val="000000"/>
                <w:sz w:val="24"/>
              </w:rPr>
              <w:t xml:space="preserve">-----***-----</w:t>
            </w:r>
            <w:r/>
          </w:p>
        </w:tc>
      </w:tr>
      <w:tr>
        <w:trPr>
          <w:trHeight w:val="80"/>
        </w:trPr>
        <w:tc>
          <w:tcPr>
            <w:tcBorders/>
            <w:tcMar>
              <w:left w:w="108" w:type="dxa"/>
              <w:top w:w="0" w:type="dxa"/>
              <w:right w:w="108" w:type="dxa"/>
              <w:bottom w:w="0" w:type="dxa"/>
            </w:tcMar>
            <w:tcW w:w="4053"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931"/>
              </w:tabs>
              <w:spacing w:after="0" w:before="0" w:line="288" w:lineRule="auto"/>
              <w:ind w:right="-94" w:firstLine="0" w:left="-80"/>
              <w:jc w:val="center"/>
              <w:rPr/>
            </w:pPr>
            <w:r>
              <w:rPr>
                <w:rFonts w:ascii="Times New Roman" w:hAnsi="Times New Roman" w:eastAsia="Times New Roman" w:cs="Times New Roman"/>
                <w:i/>
                <w:color w:val="000000"/>
                <w:sz w:val="24"/>
              </w:rPr>
              <w:t xml:space="preserve">Số</w:t>
            </w:r>
            <w:r>
              <w:rPr>
                <w:rFonts w:ascii="Times New Roman" w:hAnsi="Times New Roman" w:eastAsia="Times New Roman" w:cs="Times New Roman"/>
                <w:i/>
                <w:iCs/>
                <w:color w:val="000000"/>
                <w:sz w:val="24"/>
                <w:szCs w:val="24"/>
                <w:lang w:val="undefined"/>
              </w:rPr>
              <w:t xml:space="preserve">: </w:t>
            </w:r>
            <w:r>
              <w:rPr>
                <w:rFonts w:ascii="Times New Roman" w:hAnsi="Times New Roman" w:eastAsia="Times New Roman" w:cs="Times New Roman"/>
                <w:i/>
                <w:iCs/>
                <w:color w:val="000000"/>
                <w:sz w:val="24"/>
                <w:szCs w:val="24"/>
                <w:lang w:val="undefined"/>
              </w:rPr>
              <w:t xml:space="preserve">275/2026/1382/VFI-HĐTĐ.39.A</w:t>
            </w:r>
            <w:r>
              <w:rPr>
                <w:spacing w:val="-4"/>
                <w:lang w:val="vi-VN"/>
              </w:rPr>
              <w:t xml:space="preserve"> </w:t>
            </w:r>
            <w:r>
              <w:rPr>
                <w:rFonts w:ascii="Times New Roman" w:hAnsi="Times New Roman" w:eastAsia="Times New Roman" w:cs="Times New Roman"/>
                <w:i/>
                <w:color w:val="000000"/>
                <w:spacing w:val="-4"/>
                <w:sz w:val="24"/>
              </w:rPr>
            </w:r>
            <w:r/>
          </w:p>
        </w:tc>
        <w:tc>
          <w:tcPr>
            <w:tcBorders/>
            <w:tcMar>
              <w:left w:w="108" w:type="dxa"/>
              <w:top w:w="0" w:type="dxa"/>
              <w:right w:w="108" w:type="dxa"/>
              <w:bottom w:w="0" w:type="dxa"/>
            </w:tcMar>
            <w:tcW w:w="56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120" w:line="288" w:lineRule="auto"/>
              <w:ind w:right="0" w:firstLine="3" w:left="357"/>
              <w:jc w:val="right"/>
              <w:rPr>
                <w:rFonts w:ascii="Times New Roman" w:hAnsi="Times New Roman" w:eastAsia="Times New Roman" w:cs="Times New Roman"/>
                <w:bCs/>
                <w:i/>
                <w:color w:val="000000"/>
                <w:sz w:val="24"/>
                <w:szCs w:val="24"/>
              </w:rPr>
            </w:pPr>
            <w:r>
              <w:rPr>
                <w:rFonts w:ascii="Times New Roman" w:hAnsi="Times New Roman" w:eastAsia="Times New Roman" w:cs="Times New Roman"/>
                <w:i/>
                <w:color w:val="000000"/>
                <w:sz w:val="24"/>
              </w:rPr>
              <w:t xml:space="preserve">        Hà Nội, ngày 28</w:t>
            </w:r>
            <w:r>
              <w:rPr>
                <w:rFonts w:ascii="Times New Roman" w:hAnsi="Times New Roman" w:eastAsia="Times New Roman" w:cs="Times New Roman"/>
                <w:i/>
                <w:color w:val="000000"/>
                <w:sz w:val="24"/>
              </w:rPr>
              <w:t xml:space="preserve"> tháng 8 năm 2026</w:t>
            </w:r>
            <w:r/>
            <w:r/>
            <w:r>
              <w:rPr>
                <w:rFonts w:ascii="Times New Roman" w:hAnsi="Times New Roman" w:eastAsia="Times New Roman" w:cs="Times New Roman"/>
                <w:bCs/>
                <w:i/>
                <w:color w:val="000000"/>
                <w:sz w:val="24"/>
                <w:szCs w:val="24"/>
              </w:rPr>
            </w:r>
          </w:p>
        </w:tc>
      </w:tr>
    </w:tbl>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b/>
          <w:color w:val="000000"/>
          <w:sz w:val="10"/>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8"/>
        </w:rPr>
        <w:t xml:space="preserve">HỢP ĐỒNG DỊCH VỤ THẨM ĐỊNH GIÁ</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i/>
          <w:color w:val="000000"/>
          <w:sz w:val="24"/>
        </w:rPr>
        <w:t xml:space="preserve">(V/v: Thẩm định giá tài sản)</w:t>
      </w:r>
      <w:r/>
    </w:p>
    <w:p>
      <w:pPr>
        <w:numPr>
          <w:ilvl w:val="0"/>
          <w:numId w:val="53"/>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Dân sự số 91/2015/QH13 ngày 24/11/2015 và các văn bản hướng dẫn thi hành;</w:t>
      </w:r>
      <w:r/>
    </w:p>
    <w:p>
      <w:pPr>
        <w:numPr>
          <w:ilvl w:val="0"/>
          <w:numId w:val="53"/>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Doanh nghiệp số 59/2020/QH14 ngày 17/6/2020; Luật số 76/2025 sửa đổi bổ sung một số điều của Luật Doanh Nghiệp và các văn bản hướng dẫn thi hành;</w:t>
      </w:r>
      <w:r/>
    </w:p>
    <w:p>
      <w:pPr>
        <w:numPr>
          <w:ilvl w:val="0"/>
          <w:numId w:val="53"/>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Luật giá số 16/2023/QH15 ngày 19/06/2023 và các văn bản hướng dẫn thi hành; </w:t>
      </w:r>
      <w:r/>
    </w:p>
    <w:p>
      <w:pPr>
        <w:numPr>
          <w:ilvl w:val="0"/>
          <w:numId w:val="53"/>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Nghị định 78/2024/NĐ-CP ngày 01/07/2024 của chính phủ Quy định chi tiết một số điều của Luật giá về thẩm định giá;</w:t>
      </w:r>
      <w:r/>
    </w:p>
    <w:p>
      <w:pPr>
        <w:numPr>
          <w:ilvl w:val="0"/>
          <w:numId w:val="53"/>
        </w:numPr>
        <w:pBdr>
          <w:top w:val="none" w:color="000000" w:sz="4" w:space="0"/>
          <w:left w:val="none" w:color="000000" w:sz="4" w:space="0"/>
          <w:bottom w:val="none" w:color="000000" w:sz="4" w:space="0"/>
          <w:right w:val="none" w:color="000000" w:sz="4" w:space="0"/>
        </w:pBdr>
        <w:spacing w:line="312" w:lineRule="auto"/>
        <w:ind/>
        <w:jc w:val="both"/>
        <w:rPr/>
      </w:pPr>
      <w:r>
        <w:rPr>
          <w:rFonts w:ascii="Times New Roman" w:hAnsi="Times New Roman" w:eastAsia="Times New Roman" w:cs="Times New Roman"/>
          <w:i/>
          <w:color w:val="000000"/>
          <w:sz w:val="24"/>
        </w:rPr>
        <w:t xml:space="preserve">Căn cứ nhu cầu và khả năng của hai bên.</w:t>
      </w:r>
      <w:r/>
    </w:p>
    <w:p>
      <w:pPr>
        <w:pBdr>
          <w:top w:val="none" w:color="000000" w:sz="4" w:space="0"/>
          <w:left w:val="none" w:color="000000" w:sz="4" w:space="0"/>
          <w:bottom w:val="none" w:color="000000" w:sz="4" w:space="0"/>
          <w:right w:val="none" w:color="000000" w:sz="4" w:space="0"/>
        </w:pBdr>
        <w:spacing w:line="312" w:lineRule="auto"/>
        <w:ind w:right="0" w:firstLine="0" w:left="284"/>
        <w:jc w:val="both"/>
        <w:rPr/>
      </w:pPr>
      <w:r>
        <w:rPr>
          <w:rFonts w:ascii="Times New Roman" w:hAnsi="Times New Roman" w:eastAsia="Times New Roman" w:cs="Times New Roman"/>
          <w:i/>
          <w:color w:val="000000"/>
          <w:spacing w:val="-4"/>
          <w:sz w:val="24"/>
        </w:rPr>
        <w:t xml:space="preserve"> </w:t>
      </w:r>
      <w:r/>
    </w:p>
    <w:tbl>
      <w:tblPr>
        <w:tblStyle w:val="1033"/>
        <w:tblInd w:w="168" w:type="dxa"/>
        <w:tblW w:w="0" w:type="auto"/>
        <w:tblCellMar>
          <w:left w:w="113" w:type="dxa"/>
          <w:top w:w="0" w:type="dxa"/>
          <w:right w:w="113"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422"/>
        <w:gridCol w:w="253"/>
        <w:gridCol w:w="7368"/>
        <w:gridCol/>
      </w:tblGrid>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rPr/>
            </w:pPr>
            <w:r>
              <w:rPr>
                <w:rFonts w:ascii="Times New Roman" w:hAnsi="Times New Roman" w:eastAsia="Times New Roman" w:cs="Times New Roman"/>
                <w:b/>
                <w:color w:val="000000"/>
                <w:sz w:val="24"/>
                <w:u w:val="single"/>
              </w:rPr>
              <w:t xml:space="preserve">BÊN A</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NGÂN HÀNG NÔNG NGHIỆP VÀ PHÁT TRIỂN NÔNG THÔN VIỆT NAM - CHI NHÁNH HÀ TÂY 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t xml:space="preserve">:</w:t>
            </w:r>
            <w:r>
              <w:rPr>
                <w:rFonts w:ascii="Times New Roman" w:hAnsi="Times New Roman" w:eastAsia="Times New Roman" w:cs="Times New Roman"/>
                <w:color w:val="000000"/>
                <w:sz w:val="24"/>
                <w:szCs w:val="24"/>
                <w:lang w:val="undefined"/>
              </w:rPr>
            </w:r>
          </w:p>
        </w:tc>
        <w:tc>
          <w:tcPr>
            <w:tcBorders/>
            <w:tcMar>
              <w:left w:w="113" w:type="dxa"/>
              <w:top w:w="0" w:type="dxa"/>
              <w:right w:w="113" w:type="dxa"/>
              <w:bottom w:w="0" w:type="dxa"/>
            </w:tcMar>
            <w:tcW w:w="7368" w:type="dxa"/>
            <w:vAlign w:val="top"/>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t xml:space="preserve">0100686174-081</w:t>
            </w: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Đia chỉ</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top"/>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189 phố Lê Lợi, Phường Sơn Tây, TP Hà Nội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Ông Phùng Ngọc Thanh</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Phó Giám Đốc</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 </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i/>
                <w:color w:val="000000"/>
                <w:sz w:val="22"/>
              </w:rPr>
              <w:t xml:space="preserve"> (Theo quyết định số:2664/QĐ-NHNo-PC ngày 01/12/2022 của Người đại diện theo pháp luật Ngân hàng Nông nghiệp và Phát triển nông thôn Việt Nam về việc “Ủy quyền thực hiện nhiệm vụ, quyền hạn của người đại diện theo phát luật” và Quyết định số 209/QĐ-NHNo-HTI-HT ngày 08/06/2026 của Giám đốc Ngân hàng Nông nghiệp và Phát triển nông thôn Việt Nam – chi nhánh Hà Tây I về việc ‘Ủy quyền lại thực hiện nhiệm vụ quyền hạn của người đại diện theo pháp luật  và kí kết thực hiện hợp đồng theo thẩm quyền cấp tín dụng” và các văn bản sửa đổi, bổ sung kèm theo (nếu có))</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rPr/>
            </w:pPr>
            <w:r>
              <w:rPr>
                <w:rFonts w:ascii="Times New Roman" w:hAnsi="Times New Roman" w:eastAsia="Times New Roman" w:cs="Times New Roman"/>
                <w:b/>
                <w:color w:val="000000"/>
                <w:sz w:val="24"/>
                <w:u w:val="single"/>
              </w:rPr>
              <w:t xml:space="preserve">BÊN B</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9" w:firstLine="0" w:left="0"/>
              <w:jc w:val="center"/>
              <w:rPr/>
            </w:pPr>
            <w:r>
              <w:rPr>
                <w:rFonts w:ascii="Times New Roman" w:hAnsi="Times New Roman" w:eastAsia="Times New Roman" w:cs="Times New Roman"/>
                <w:b/>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CÔNG TY CỔ PHẦN THẨM ĐỊNH VÀ ĐẦU TƯ TÀI CHÍNH HOA SEN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Địa chỉ </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Thành phố Hà Nội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line="288" w:lineRule="auto"/>
              <w:ind w:right="0" w:firstLine="0" w:left="0"/>
              <w:rPr/>
            </w:pPr>
            <w:r>
              <w:rPr>
                <w:rFonts w:ascii="Times New Roman" w:hAnsi="Times New Roman" w:eastAsia="Times New Roman" w:cs="Times New Roman"/>
                <w:color w:val="000000"/>
                <w:sz w:val="24"/>
              </w:rPr>
              <w:t xml:space="preserve">024 2264 4333</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0102708994 </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Mã số GCN đủ điều kiện hành nghề</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275/TĐG</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Vũ Văn Quân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Chức vụ</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Chủ Tịch HĐQT kiêm Tổng Giám Đốc</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20"/>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u w:val="single"/>
              </w:rPr>
              <w:t xml:space="preserve">Bên C</w:t>
            </w: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w:t>
            </w: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pacing w:val="-8"/>
                <w:sz w:val="24"/>
              </w:rPr>
              <w:t xml:space="preserve">CÔNG TY TNHH THƯƠNG MẠI THỰC PHẨM PHƯƠNG HUYỀN</w:t>
            </w: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331"/>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rPr>
              <w:t xml:space="preserve">Mã số thuế</w:t>
            </w:r>
            <w:r>
              <w:rPr>
                <w:rFonts w:ascii="Times New Roman" w:hAnsi="Times New Roman" w:eastAsia="Times New Roman" w:cs="Times New Roman"/>
                <w:color w:val="000000"/>
                <w:sz w:val="24"/>
                <w:szCs w:val="24"/>
                <w:lang w:val="undefined"/>
              </w:rP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rPr>
              <w:t xml:space="preserve">:</w:t>
            </w:r>
            <w:r>
              <w:rPr>
                <w:rFonts w:ascii="Times New Roman" w:hAnsi="Times New Roman" w:eastAsia="Times New Roman" w:cs="Times New Roman"/>
                <w:color w:val="000000"/>
                <w:sz w:val="24"/>
                <w:szCs w:val="24"/>
                <w:lang w:val="undefined"/>
              </w:rP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t xml:space="preserve">0108617849 </w:t>
            </w:r>
            <w:r>
              <w:rPr>
                <w:rFonts w:ascii="Times New Roman" w:hAnsi="Times New Roman" w:eastAsia="Times New Roman" w:cs="Times New Roman"/>
                <w:color w:val="000000"/>
                <w:sz w:val="24"/>
                <w:szCs w:val="24"/>
                <w:lang w:val="undefined" w:bidi="undefined"/>
              </w:rPr>
            </w:r>
            <w:r>
              <w:rPr>
                <w:rFonts w:ascii="Times New Roman" w:hAnsi="Times New Roman" w:eastAsia="Times New Roman" w:cs="Times New Roman"/>
                <w:color w:val="000000"/>
                <w:sz w:val="24"/>
                <w:szCs w:val="24"/>
                <w:lang w:val="undefined"/>
              </w:rP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r>
        <w:trPr>
          <w:trHeight w:val="331"/>
        </w:trPr>
        <w:tc>
          <w:tcPr>
            <w:tcBorders/>
            <w:tcMar>
              <w:left w:w="113" w:type="dxa"/>
              <w:top w:w="0" w:type="dxa"/>
              <w:right w:w="113" w:type="dxa"/>
              <w:bottom w:w="0" w:type="dxa"/>
            </w:tcMar>
            <w:tcW w:w="1422"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rPr>
              <w:t xml:space="preserve">Đia chỉ</w:t>
            </w:r>
            <w:r>
              <w:rPr>
                <w:rFonts w:ascii="Times New Roman" w:hAnsi="Times New Roman" w:eastAsia="Times New Roman" w:cs="Times New Roman"/>
                <w:color w:val="000000"/>
                <w:sz w:val="24"/>
                <w:szCs w:val="24"/>
                <w:lang w:val="undefined"/>
              </w:rPr>
            </w:r>
          </w:p>
        </w:tc>
        <w:tc>
          <w:tcPr>
            <w:tcBorders/>
            <w:tcMar>
              <w:left w:w="113" w:type="dxa"/>
              <w:top w:w="0" w:type="dxa"/>
              <w:right w:w="113" w:type="dxa"/>
              <w:bottom w:w="0" w:type="dxa"/>
            </w:tcMar>
            <w:tcW w:w="253"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rPr>
              <w:t xml:space="preserve">:</w:t>
            </w:r>
            <w:r>
              <w:rPr>
                <w:rFonts w:ascii="Times New Roman" w:hAnsi="Times New Roman" w:eastAsia="Times New Roman" w:cs="Times New Roman"/>
                <w:color w:val="000000"/>
                <w:sz w:val="24"/>
                <w:szCs w:val="24"/>
                <w:lang w:val="undefined"/>
              </w:rPr>
            </w:r>
          </w:p>
        </w:tc>
        <w:tc>
          <w:tcPr>
            <w:tcBorders/>
            <w:tcMar>
              <w:left w:w="113" w:type="dxa"/>
              <w:top w:w="0" w:type="dxa"/>
              <w:right w:w="113" w:type="dxa"/>
              <w:bottom w:w="0" w:type="dxa"/>
            </w:tcMar>
            <w:tcW w:w="73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color w:val="000000"/>
                <w:szCs w:val="24"/>
                <w14:ligatures w14:val="none"/>
              </w:rPr>
            </w:pPr>
            <w:r>
              <w:rPr>
                <w:rFonts w:ascii="Times New Roman" w:hAnsi="Times New Roman" w:eastAsia="Times New Roman" w:cs="Times New Roman"/>
                <w:color w:val="000000"/>
                <w:sz w:val="24"/>
                <w:szCs w:val="24"/>
                <w:lang w:val="undefined"/>
              </w:rPr>
              <w:t xml:space="preserve">Thôn </w:t>
            </w:r>
            <w:r>
              <w:rPr>
                <w:rFonts w:ascii="Times New Roman" w:hAnsi="Times New Roman" w:eastAsia="Times New Roman" w:cs="Times New Roman"/>
                <w:color w:val="000000"/>
                <w:sz w:val="24"/>
                <w:szCs w:val="24"/>
                <w:lang w:val="undefined"/>
              </w:rPr>
              <w:t xml:space="preserve">Bắc  kiên, </w:t>
            </w:r>
            <w:r>
              <w:rPr>
                <w:rFonts w:ascii="Times New Roman" w:hAnsi="Times New Roman" w:eastAsia="Times New Roman" w:cs="Times New Roman"/>
                <w:color w:val="000000"/>
                <w:sz w:val="24"/>
                <w:szCs w:val="24"/>
                <w:lang w:val="undefined"/>
              </w:rPr>
              <w:t xml:space="preserve">Xã Đoài Phương, TP Hà Nội</w:t>
            </w:r>
            <w:r>
              <w:rPr>
                <w:rFonts w:ascii="Times New Roman" w:hAnsi="Times New Roman" w:eastAsia="Times New Roman" w:cs="Times New Roman"/>
                <w:color w:val="000000"/>
                <w:sz w:val="24"/>
                <w:szCs w:val="24"/>
                <w:lang w:val="undefined"/>
              </w:rPr>
            </w:r>
          </w:p>
        </w:tc>
        <w:tc>
          <w:tcPr>
            <w:tcBorders/>
            <w:tcMar>
              <w:left w:w="0" w:type="dxa"/>
              <w:top w:w="0" w:type="dxa"/>
              <w:right w:w="0" w:type="dxa"/>
              <w:bottom w:w="0" w:type="dxa"/>
            </w:tcMar>
            <w:tcW w:w="0" w:type="dxa"/>
            <w:vAlign w:val="center"/>
            <w:textDirection w:val="lrTb"/>
            <w:noWrap w:val="false"/>
          </w:tcPr>
          <w:p>
            <w:pPr>
              <w:pBdr/>
              <w:spacing w:after="0" w:before="0" w:line="240"/>
              <w:ind/>
              <w:rPr/>
            </w:pPr>
            <w:r/>
          </w:p>
        </w:tc>
      </w:tr>
    </w:tbl>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pacing w:val="-4"/>
          <w:sz w:val="24"/>
        </w:rPr>
        <w:t xml:space="preserve"> </w:t>
      </w:r>
      <w:r/>
    </w:p>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pacing w:val="-4"/>
          <w:sz w:val="24"/>
        </w:rPr>
        <w:t xml:space="preserve">Sau khi bàn bạc hai bên cùng thống nhất ký kết Hợp đồng dịch vụ thẩm định giá với các điều khoản và điều kiện cụ thể sau:</w:t>
      </w:r>
      <w:r/>
    </w:p>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pacing w:val="-4"/>
          <w:sz w:val="12"/>
        </w:rPr>
        <w:t xml:space="preserve"> </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CÁC TỪ VIẾT TẮT VÀ ĐỊNH NGHĨA TRONG HỢP ĐỒNG NÀY</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 </w:t>
      </w:r>
      <w:r/>
    </w:p>
    <w:p>
      <w:pPr>
        <w:numPr>
          <w:ilvl w:val="0"/>
          <w:numId w:val="54"/>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Các từ viết tắt trong hợp đồng này</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 </w:t>
      </w:r>
      <w:r/>
    </w:p>
    <w:p>
      <w:pPr>
        <w:numPr>
          <w:ilvl w:val="0"/>
          <w:numId w:val="55"/>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Hợp đồng dịch vụ thẩm định giá: “HĐDVTĐG”;</w:t>
      </w:r>
      <w:r/>
    </w:p>
    <w:p>
      <w:pPr>
        <w:numPr>
          <w:ilvl w:val="0"/>
          <w:numId w:val="55"/>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Phụ lục Hợp đồng dịch vụ thẩm định giá: “PLHĐDVTĐG”</w:t>
      </w:r>
      <w:r/>
    </w:p>
    <w:p>
      <w:pPr>
        <w:numPr>
          <w:ilvl w:val="0"/>
          <w:numId w:val="55"/>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Tài sản thẩm định giá: “TSTĐG”</w:t>
      </w:r>
      <w:r/>
    </w:p>
    <w:p>
      <w:pPr>
        <w:numPr>
          <w:ilvl w:val="0"/>
          <w:numId w:val="55"/>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Biên bản khảo sát hiện trạng tài sản thẩm định giá: “BBKSTS”</w:t>
      </w:r>
      <w:r/>
    </w:p>
    <w:p>
      <w:pPr>
        <w:numPr>
          <w:ilvl w:val="0"/>
          <w:numId w:val="55"/>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rPr>
        <w:t xml:space="preserve">Chứng thư thẩm định giá, Báo cáo kết quả thẩm định giá: “CT, BCTĐG”</w:t>
      </w:r>
      <w:r/>
    </w:p>
    <w:p>
      <w:pPr>
        <w:pBdr>
          <w:top w:val="none" w:color="000000" w:sz="4" w:space="0"/>
          <w:left w:val="none" w:color="000000" w:sz="4" w:space="0"/>
          <w:bottom w:val="none" w:color="000000" w:sz="4" w:space="0"/>
          <w:right w:val="none" w:color="000000" w:sz="4" w:space="0"/>
        </w:pBdr>
        <w:spacing/>
        <w:ind w:right="0" w:firstLine="0" w:left="360"/>
        <w:jc w:val="both"/>
        <w:rPr/>
      </w:pPr>
      <w:r>
        <w:rPr>
          <w:rFonts w:ascii="Times New Roman" w:hAnsi="Times New Roman" w:eastAsia="Times New Roman" w:cs="Times New Roman"/>
          <w:b/>
          <w:color w:val="000000"/>
          <w:sz w:val="24"/>
        </w:rPr>
        <w:t xml:space="preserve"> </w:t>
      </w:r>
      <w:r/>
    </w:p>
    <w:p>
      <w:pPr>
        <w:numPr>
          <w:ilvl w:val="0"/>
          <w:numId w:val="56"/>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b/>
          <w:color w:val="000000"/>
          <w:sz w:val="24"/>
        </w:rPr>
        <w:t xml:space="preserve">Định nghĩa:</w:t>
      </w:r>
      <w:r/>
    </w:p>
    <w:p>
      <w:pPr>
        <w:pBdr>
          <w:top w:val="none" w:color="000000" w:sz="4" w:space="0"/>
          <w:left w:val="none" w:color="000000" w:sz="4" w:space="0"/>
          <w:bottom w:val="none" w:color="000000" w:sz="4" w:space="0"/>
          <w:right w:val="none" w:color="000000" w:sz="4" w:space="0"/>
        </w:pBdr>
        <w:spacing/>
        <w:ind w:right="0" w:firstLine="0" w:left="720"/>
        <w:jc w:val="both"/>
        <w:rPr/>
      </w:pPr>
      <w:r>
        <w:rPr>
          <w:rFonts w:ascii="Times New Roman" w:hAnsi="Times New Roman" w:eastAsia="Times New Roman" w:cs="Times New Roman"/>
          <w:b/>
          <w:color w:val="000000"/>
          <w:sz w:val="24"/>
        </w:rPr>
        <w:t xml:space="preserve"> </w:t>
      </w:r>
      <w:r/>
    </w:p>
    <w:p>
      <w:pPr>
        <w:numPr>
          <w:ilvl w:val="3"/>
          <w:numId w:val="57"/>
        </w:num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b/>
          <w:color w:val="000000"/>
          <w:sz w:val="24"/>
        </w:rPr>
        <w:t xml:space="preserve">HĐDVTĐG </w:t>
      </w:r>
      <w:r>
        <w:rPr>
          <w:rFonts w:ascii="Times New Roman" w:hAnsi="Times New Roman" w:eastAsia="Times New Roman" w:cs="Times New Roman"/>
          <w:color w:val="000000"/>
          <w:sz w:val="24"/>
        </w:rPr>
        <w:t xml:space="preserve">: là HĐDVTĐG này, các Phụ lục kèm theo HĐDVTĐG, các Phụ lục sửa đồi, bổ sung các thoả thuận khác được các bên thống nhất thực hiện và lập thành văn bản ký kết giữa các bên (nếu có).</w:t>
      </w:r>
      <w:r/>
    </w:p>
    <w:p>
      <w:p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color w:val="000000"/>
          <w:sz w:val="24"/>
        </w:rPr>
        <w:t xml:space="preserve"> </w:t>
      </w:r>
      <w:r/>
    </w:p>
    <w:p>
      <w:pPr>
        <w:numPr>
          <w:ilvl w:val="3"/>
          <w:numId w:val="57"/>
        </w:num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b/>
          <w:color w:val="000000"/>
          <w:sz w:val="24"/>
        </w:rPr>
        <w:t xml:space="preserve">Bên A</w:t>
      </w:r>
      <w:r>
        <w:rPr>
          <w:rFonts w:ascii="Times New Roman" w:hAnsi="Times New Roman" w:eastAsia="Times New Roman" w:cs="Times New Roman"/>
          <w:color w:val="000000"/>
          <w:sz w:val="24"/>
        </w:rPr>
        <w:t xml:space="preserve">: Có nghĩa là Bên sử dụng dịch vụ thẩm định giá, </w:t>
      </w:r>
      <w:r>
        <w:rPr>
          <w:rFonts w:ascii="Times New Roman" w:hAnsi="Times New Roman" w:eastAsia="Times New Roman" w:cs="Times New Roman"/>
          <w:b/>
          <w:color w:val="000000"/>
          <w:sz w:val="24"/>
        </w:rPr>
        <w:t xml:space="preserve">Bên B</w:t>
      </w:r>
      <w:r>
        <w:rPr>
          <w:rFonts w:ascii="Times New Roman" w:hAnsi="Times New Roman" w:eastAsia="Times New Roman" w:cs="Times New Roman"/>
          <w:color w:val="000000"/>
          <w:sz w:val="24"/>
        </w:rPr>
        <w:t xml:space="preserve">là bên cung cấp dịch vụ thẩm định giá</w:t>
      </w:r>
      <w:r/>
    </w:p>
    <w:p>
      <w:p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color w:val="000000"/>
          <w:sz w:val="24"/>
        </w:rPr>
        <w:t xml:space="preserve"> </w:t>
      </w:r>
      <w:r/>
    </w:p>
    <w:p>
      <w:pPr>
        <w:numPr>
          <w:ilvl w:val="3"/>
          <w:numId w:val="57"/>
        </w:num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b/>
          <w:color w:val="000000"/>
          <w:sz w:val="24"/>
        </w:rPr>
        <w:t xml:space="preserve">Phí dịch vụ thẩm định giá</w:t>
      </w:r>
      <w:r>
        <w:rPr>
          <w:rFonts w:ascii="Times New Roman" w:hAnsi="Times New Roman" w:eastAsia="Times New Roman" w:cs="Times New Roman"/>
          <w:color w:val="000000"/>
          <w:sz w:val="24"/>
        </w:rPr>
        <w:t xml:space="preserve">: Có nghĩa là mức phí cho dịch vụ thẩm định giá (định giá) Bên B sẽ thu của Bên C, theo Biểu phí thẩm định giá Bên B dành cho Bên C hoặc theo thỏa thuận giữa Bên C và Bên B được ghi tại HĐDVTĐG.</w:t>
      </w:r>
      <w:r/>
    </w:p>
    <w:p>
      <w:p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color w:val="000000"/>
          <w:sz w:val="24"/>
        </w:rPr>
        <w:t xml:space="preserve"> </w:t>
      </w:r>
      <w:r/>
    </w:p>
    <w:p>
      <w:pPr>
        <w:numPr>
          <w:ilvl w:val="3"/>
          <w:numId w:val="57"/>
        </w:numPr>
        <w:pBdr>
          <w:top w:val="none" w:color="000000" w:sz="4" w:space="0"/>
          <w:left w:val="none" w:color="000000" w:sz="4" w:space="0"/>
          <w:bottom w:val="none" w:color="000000" w:sz="4" w:space="0"/>
          <w:right w:val="none" w:color="000000" w:sz="4" w:space="0"/>
        </w:pBdr>
        <w:spacing/>
        <w:ind w:right="0" w:hanging="360" w:left="567"/>
        <w:jc w:val="both"/>
        <w:rPr/>
      </w:pPr>
      <w:r>
        <w:rPr>
          <w:rFonts w:ascii="Times New Roman" w:hAnsi="Times New Roman" w:eastAsia="Times New Roman" w:cs="Times New Roman"/>
          <w:b/>
          <w:color w:val="000000"/>
          <w:sz w:val="24"/>
        </w:rPr>
        <w:t xml:space="preserve">Thông tin mật</w:t>
      </w:r>
      <w:r>
        <w:rPr>
          <w:rFonts w:ascii="Times New Roman" w:hAnsi="Times New Roman" w:eastAsia="Times New Roman" w:cs="Times New Roman"/>
          <w:color w:val="000000"/>
          <w:sz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w:t>
      </w:r>
      <w:r>
        <w:rPr>
          <w:rFonts w:ascii="Times New Roman" w:hAnsi="Times New Roman" w:eastAsia="Times New Roman" w:cs="Times New Roman"/>
          <w:color w:val="000000"/>
          <w:sz w:val="24"/>
        </w:rPr>
        <w:t xml:space="preserve"> B mà Bên B có được trong quá trình thực hiện các dịch vụ quy định tại HĐDVTĐG này.</w:t>
      </w:r>
      <w:r/>
    </w:p>
    <w:p>
      <w:pPr>
        <w:pBdr>
          <w:top w:val="none" w:color="000000" w:sz="4" w:space="0"/>
          <w:left w:val="none" w:color="000000" w:sz="4" w:space="0"/>
          <w:bottom w:val="none" w:color="000000" w:sz="4" w:space="0"/>
          <w:right w:val="none" w:color="000000" w:sz="4" w:space="0"/>
        </w:pBdr>
        <w:spacing/>
        <w:ind w:right="0" w:hanging="360" w:left="567"/>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1: NỘI DUNG HĐDVTĐG </w:t>
      </w:r>
      <w:r/>
    </w:p>
    <w:p>
      <w:pPr>
        <w:numPr>
          <w:ilvl w:val="1"/>
          <w:numId w:val="58"/>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Tài sản thẩm định giá</w:t>
      </w:r>
      <w:r>
        <w:rPr>
          <w:rFonts w:ascii="Times New Roman" w:hAnsi="Times New Roman" w:eastAsia="Times New Roman" w:cs="Times New Roman"/>
          <w:b/>
          <w:color w:val="000000"/>
          <w:spacing w:val="-6"/>
          <w:sz w:val="2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20"/>
        <w:jc w:val="both"/>
        <w:rPr/>
      </w:pPr>
      <w:r>
        <w:rPr>
          <w:rFonts w:ascii="Times New Roman" w:hAnsi="Times New Roman" w:eastAsia="Times New Roman" w:cs="Times New Roman"/>
          <w:color w:val="000000"/>
          <w:sz w:val="24"/>
        </w:rPr>
      </w:r>
      <w:r>
        <w:rPr>
          <w:color w:val="000000" w:themeColor="text1"/>
        </w:rPr>
        <w:t xml:space="preserve">Quyền sử dụng đất tại thửa đất số: 02, tờ bản đồ số 55 có địa chỉ: Thôn Đại Quang, xã Sơn Đông, Thị xã Sơn Tây, Thành phố Hà Nội (Nay là</w:t>
      </w:r>
      <w:r>
        <w:rPr>
          <w:color w:val="000000" w:themeColor="text1"/>
        </w:rPr>
        <w:t xml:space="preserve"> xã Đoài Phương, Thành phố Hà Nội) theo Giấy chứng nhận quyền sử dụng đất quyền sở hữu tài sản gắn liền với đất số: AA 00817008, số vào sổ cấp GCN: CN 772 do Chi nhánh Văn phòng đăng ký đất đai Hà Nội cấp ngày 17/4/2025; Chủ sử dụng đất là Bà Tạ Thị Huyền.</w:t>
      </w:r>
      <w:r/>
      <w:r>
        <w:rPr>
          <w:rFonts w:ascii="Times New Roman" w:hAnsi="Times New Roman" w:eastAsia="Times New Roman" w:cs="Times New Roman"/>
          <w:color w:val="000000"/>
          <w:sz w:val="24"/>
        </w:rPr>
      </w:r>
      <w:r/>
    </w:p>
    <w:p>
      <w:pPr>
        <w:numPr>
          <w:ilvl w:val="1"/>
          <w:numId w:val="58"/>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Nội dung và phạm vi công việc</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Bên A đề nghị và Bên B đồng ý cung cấp dịch vụ thẩm định giá đối với các TSTĐG như đã liệt kê tại mục 1 của Điều này theo đúng quy định của pháp luật hiện hành.</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Việc định giá của Bên B phải được tiến hành độc lập, khách quan, trung thực và tuân thủ, phù hợp với quy định pháp luật thẩm định giá dựa trên các tiêu chuẩn kỹ thuật, tính chất, vị trí, quy mô, thực trạng của tài sản, giá thị trường tại thời điểm định giá</w:t>
      </w:r>
      <w:r>
        <w:rPr>
          <w:rFonts w:ascii="Times New Roman" w:hAnsi="Times New Roman" w:eastAsia="Times New Roman" w:cs="Times New Roman"/>
          <w:color w:val="000000"/>
          <w:spacing w:val="-4"/>
          <w:sz w:val="24"/>
        </w:rPr>
        <w:t xml:space="preserve">.</w:t>
      </w:r>
      <w:r/>
    </w:p>
    <w:p>
      <w:pPr>
        <w:numPr>
          <w:ilvl w:val="1"/>
          <w:numId w:val="58"/>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Thời điểm thẩm định giá: </w:t>
      </w:r>
      <w:r>
        <w:rPr>
          <w:rFonts w:ascii="Times New Roman" w:hAnsi="Times New Roman" w:eastAsia="Times New Roman" w:cs="Times New Roman"/>
          <w:color w:val="000000"/>
          <w:sz w:val="24"/>
        </w:rPr>
        <w:t xml:space="preserve">Tháng 9 năm 2026.</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2: MỤC ĐÍCH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20"/>
        <w:jc w:val="both"/>
        <w:rPr/>
      </w:pPr>
      <w:r>
        <w:rPr>
          <w:rFonts w:ascii="Times New Roman" w:hAnsi="Times New Roman" w:eastAsia="Times New Roman" w:cs="Times New Roman"/>
          <w:color w:val="000000"/>
          <w:spacing w:val="-2"/>
          <w:sz w:val="24"/>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pacing w:val="-8"/>
          <w:sz w:val="24"/>
        </w:rPr>
        <w:t xml:space="preserve">ĐIỀU 3: THỜI GIAN VÀ PHÍ DỊCH VỤ THẨM ĐỊNH GIÁ </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3.1.</w:t>
        <w:tab/>
        <w:t xml:space="preserve">Thời gian thẩm định giá</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09"/>
        <w:jc w:val="both"/>
        <w:rPr/>
      </w:pPr>
      <w:r>
        <w:rPr>
          <w:rFonts w:ascii="Times New Roman" w:hAnsi="Times New Roman" w:eastAsia="Times New Roman" w:cs="Times New Roman"/>
          <w:color w:val="000000"/>
          <w:sz w:val="24"/>
        </w:rPr>
        <w:t xml:space="preserve">Bên B tiến hành công việc thẩm định và trả lời kết </w:t>
      </w:r>
      <w:r>
        <w:rPr>
          <w:rFonts w:ascii="Times New Roman" w:hAnsi="Times New Roman" w:eastAsia="Times New Roman" w:cs="Times New Roman"/>
          <w:color w:val="000000"/>
          <w:spacing w:val="-4"/>
          <w:sz w:val="24"/>
        </w:rPr>
        <w:t xml:space="preserve">quả thẩm định giá bằng văn bản chậm nhất sau 05 (Năm) ngày làm việc (kể từ khi Bên A bàn giao cho Bên B đầy đủ hồ sơ pháp lý có liên quan về TSTĐG).</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3.2.</w:t>
        <w:tab/>
        <w:t xml:space="preserve">Phí dịch vụ thẩm định giá</w:t>
      </w:r>
      <w:r/>
    </w:p>
    <w:tbl>
      <w:tblPr>
        <w:tblStyle w:val="1033"/>
        <w:tblInd w:w="237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822"/>
        <w:gridCol w:w="296"/>
        <w:gridCol w:w="2113"/>
      </w:tblGrid>
      <w:tr>
        <w:trPr/>
        <w:tc>
          <w:tcPr>
            <w:tcBorders/>
            <w:tcMar>
              <w:left w:w="108" w:type="dxa"/>
              <w:top w:w="0" w:type="dxa"/>
              <w:right w:w="108" w:type="dxa"/>
              <w:bottom w:w="0" w:type="dxa"/>
            </w:tcMar>
            <w:tcW w:w="282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b/>
                <w:color w:val="000000"/>
                <w:sz w:val="24"/>
              </w:rPr>
              <w:t xml:space="preserve">VND</w:t>
            </w:r>
            <w:r/>
          </w:p>
        </w:tc>
      </w:tr>
      <w:tr>
        <w:trPr/>
        <w:tc>
          <w:tcPr>
            <w:tcBorders/>
            <w:tcMar>
              <w:left w:w="108" w:type="dxa"/>
              <w:top w:w="0" w:type="dxa"/>
              <w:right w:w="108" w:type="dxa"/>
              <w:bottom w:w="0" w:type="dxa"/>
            </w:tcMar>
            <w:tcW w:w="2822"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Phí thẩm định (*)</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4.629.630 </w:t>
            </w:r>
            <w:r/>
          </w:p>
        </w:tc>
      </w:tr>
      <w:tr>
        <w:trPr/>
        <w:tc>
          <w:tcPr>
            <w:tcBorders/>
            <w:tcMar>
              <w:left w:w="108" w:type="dxa"/>
              <w:top w:w="0" w:type="dxa"/>
              <w:right w:w="108" w:type="dxa"/>
              <w:bottom w:w="0" w:type="dxa"/>
            </w:tcMar>
            <w:tcW w:w="2822" w:type="dxa"/>
            <w:vAlign w:val="center"/>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VAT 8%</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color w:val="000000"/>
                <w:sz w:val="24"/>
              </w:rPr>
              <w:t xml:space="preserve">          370.370 </w:t>
            </w:r>
            <w:r/>
          </w:p>
        </w:tc>
      </w:tr>
      <w:tr>
        <w:trPr/>
        <w:tc>
          <w:tcPr>
            <w:tcBorders/>
            <w:tcMar>
              <w:left w:w="108" w:type="dxa"/>
              <w:top w:w="0" w:type="dxa"/>
              <w:right w:w="108" w:type="dxa"/>
              <w:bottom w:w="0" w:type="dxa"/>
            </w:tcMar>
            <w:tcW w:w="282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i/>
                <w:color w:val="000000"/>
                <w:sz w:val="24"/>
              </w:rPr>
              <w:t xml:space="preserve">Tổng cộng:</w:t>
            </w:r>
            <w:r/>
          </w:p>
        </w:tc>
        <w:tc>
          <w:tcPr>
            <w:tcBorders/>
            <w:tcMar>
              <w:left w:w="108" w:type="dxa"/>
              <w:top w:w="0" w:type="dxa"/>
              <w:right w:w="108" w:type="dxa"/>
              <w:bottom w:w="0" w:type="dxa"/>
            </w:tcMar>
            <w:tcW w:w="29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i/>
                <w:color w:val="000000"/>
                <w:sz w:val="24"/>
              </w:rPr>
              <w:t xml:space="preserve">:</w:t>
            </w:r>
            <w:r/>
          </w:p>
        </w:tc>
        <w:tc>
          <w:tcPr>
            <w:tcBorders/>
            <w:tcMar>
              <w:left w:w="108" w:type="dxa"/>
              <w:top w:w="0" w:type="dxa"/>
              <w:right w:w="108" w:type="dxa"/>
              <w:bottom w:w="0" w:type="dxa"/>
            </w:tcMar>
            <w:tcW w:w="2113" w:type="dxa"/>
            <w:vAlign w:val="bottom"/>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right"/>
              <w:rPr/>
            </w:pPr>
            <w:r>
              <w:rPr>
                <w:rFonts w:ascii="Times New Roman" w:hAnsi="Times New Roman" w:eastAsia="Times New Roman" w:cs="Times New Roman"/>
                <w:b/>
                <w:color w:val="000000"/>
                <w:sz w:val="24"/>
              </w:rPr>
              <w:t xml:space="preserve">5.000.000</w:t>
            </w:r>
            <w:r/>
          </w:p>
        </w:tc>
      </w:tr>
    </w:tbl>
    <w:p>
      <w:pPr>
        <w:pBdr>
          <w:top w:val="none" w:color="000000" w:sz="4" w:space="0"/>
          <w:left w:val="none" w:color="000000" w:sz="4" w:space="0"/>
          <w:bottom w:val="none" w:color="000000" w:sz="4" w:space="0"/>
          <w:right w:val="none" w:color="000000" w:sz="4" w:space="0"/>
        </w:pBdr>
        <w:spacing w:line="312" w:lineRule="auto"/>
        <w:ind w:right="0" w:firstLine="567" w:left="0"/>
        <w:jc w:val="center"/>
        <w:rPr/>
      </w:pPr>
      <w:r>
        <w:rPr>
          <w:rFonts w:ascii="Times New Roman" w:hAnsi="Times New Roman" w:eastAsia="Times New Roman" w:cs="Times New Roman"/>
          <w:i/>
          <w:color w:val="000000"/>
          <w:sz w:val="24"/>
        </w:rPr>
        <w:t xml:space="preserve"> (Bằng chữ: Năm triệu đồng chẵn)./.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pacing w:val="-8"/>
          <w:sz w:val="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72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8"/>
          <w:sz w:val="24"/>
        </w:rPr>
        <w:t xml:space="preserve">Phí dịch vụ trên chưa bao gồm chi phí khảo sát và các phụ phí khác (nếu có)</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pacing w:val="-8"/>
          <w:sz w:val="24"/>
        </w:rPr>
        <w:t xml:space="preserve">ĐIỀU 4:</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pacing w:val="-8"/>
          <w:sz w:val="24"/>
        </w:rPr>
        <w:t xml:space="preserve">PHƯƠNG THỨC THANH TOÁN</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Phương thức thanh toán: Tiền mặt hoặc chuyển khoản.</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Bên C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w:t>
      </w:r>
      <w:r>
        <w:rPr>
          <w:rFonts w:ascii="Times New Roman" w:hAnsi="Times New Roman" w:eastAsia="Times New Roman" w:cs="Times New Roman"/>
          <w:color w:val="000000"/>
          <w:spacing w:val="-4"/>
          <w:sz w:val="24"/>
        </w:rPr>
        <w:t xml:space="preserve"> Chứng thư thẩm định và hóa đơn tài chính hợp lệ cho Bên C.</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Các khoản tạm ứng thực hiện HĐDVTĐG (nếu có) sẽ được Bên B gửi tới Bên A theo mẫu đề nghị tạm ứng của Bên B;</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Mọi khoản phí được quy định tại HĐDVTĐG và các khoản tạm ứng phí (nếu có) được thanh toán vào tài khoản ngân hàng của Bên A theo thông tin sau:</w:t>
      </w:r>
      <w:r/>
    </w:p>
    <w:p>
      <w:pPr>
        <w:numPr>
          <w:ilvl w:val="0"/>
          <w:numId w:val="6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Tên tài khoản: Công ty CP thẩm định và Đầu tư Tài chính Hoa Sen</w:t>
      </w:r>
      <w:r/>
    </w:p>
    <w:p>
      <w:pPr>
        <w:numPr>
          <w:ilvl w:val="0"/>
          <w:numId w:val="6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Số tài khoản: 1505112366666</w:t>
      </w:r>
      <w:r/>
    </w:p>
    <w:p>
      <w:pPr>
        <w:numPr>
          <w:ilvl w:val="0"/>
          <w:numId w:val="6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Ngân hàng: Agribank chi nhánh Hà Nội II</w:t>
      </w:r>
      <w:r/>
    </w:p>
    <w:p>
      <w:pPr>
        <w:numPr>
          <w:ilvl w:val="0"/>
          <w:numId w:val="60"/>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pacing w:val="-4"/>
          <w:sz w:val="24"/>
        </w:rPr>
        <w:t xml:space="preserve">Mã Citad: 01204035</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5: TRÁCH NHIỆM CỦA CÁC BÊN</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5.1. </w:t>
        <w:tab/>
        <w:t xml:space="preserve">Quyền và Trách nhiệm của Bên A và Bên C</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Cung cấp cho bên B đầy đủ hồ sơ kinh tế, kỹ thuật và pháp lý của tài sản. Chịu hoàn toàn trách nhiệm về tính pháp lý của hồ sơ và tính chính xác, trung thực của các thông tin đã cung cấp.</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Bên B tiến hành </w:t>
      </w:r>
      <w:r>
        <w:rPr>
          <w:rFonts w:ascii="Times New Roman" w:hAnsi="Times New Roman" w:eastAsia="Times New Roman" w:cs="Times New Roman"/>
          <w:color w:val="000000"/>
          <w:sz w:val="24"/>
        </w:rPr>
        <w:t xml:space="preserve">việc thẩm định giá có hiệu quả, phù hợp quy định pháp luật về thẩm định giá.</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C hoặc người được Bên C cử có trách nhiệm hướng dẫn Bên B thực hiện khảo sát hiện trạng tài sản, đặc tính kỹ thuật của TSTĐG giá tại thời điểm khảo sát tài sản và phải chịu trách nhiệm với các hướng dẫn này.</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Có trách nhiệm ký các BBKSTS theo mẫu và nội dung đã được trình bày trong BBKSTS phù hợp với hiện trạng tại thời điểm khảo sát. Trường hợp Bên B có yêu cầu mà bên C vì bất kỳ lý do nào khác mà không thực hiện ký xác nhận BBKSTS của Bên B sau khi CT, BCTĐG </w:t>
      </w:r>
      <w:r>
        <w:rPr>
          <w:rFonts w:ascii="Times New Roman" w:hAnsi="Times New Roman" w:eastAsia="Times New Roman" w:cs="Times New Roman"/>
          <w:color w:val="000000"/>
          <w:sz w:val="24"/>
        </w:rPr>
        <w:t xml:space="preserve">đã được ban hành bởi Bên B thì BBKSTS này được coi là đã được thống nhất và xác nhận giữa Bên C và Bên B, mọi thông tin được trình bày trên BBKSTS của Bên C mặc nhiên được coi là đã trình bày phù hợp với thực trạng tài sản được khảo sát tại thời điểm khảo </w:t>
      </w:r>
      <w:r>
        <w:rPr>
          <w:rFonts w:ascii="Times New Roman" w:hAnsi="Times New Roman" w:eastAsia="Times New Roman" w:cs="Times New Roman"/>
          <w:color w:val="000000"/>
          <w:sz w:val="24"/>
        </w:rPr>
        <w:t xml:space="preserve">sát tài sản và Bên C phải hoàn toàn chịu trách nhiệm với các thông tin này với vai trò là người hướng dẫn khảo sát.</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C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w:t>
      </w:r>
      <w:r>
        <w:rPr>
          <w:rFonts w:ascii="Times New Roman" w:hAnsi="Times New Roman" w:eastAsia="Times New Roman" w:cs="Times New Roman"/>
          <w:color w:val="000000"/>
          <w:sz w:val="24"/>
        </w:rPr>
        <w:t xml:space="preserve">kỳ hình thức nào khác có ảnh hưởng đến việc bảo toàn quyền sở hữu, quyền tự do chuyển nhượng tài sản, bị xâm lấn diện tích hoặc thay đổi hiện trạng kỹ thuật của tài sản… (nếu có), Bên C phải chủ động thông báo lại cho Bên B. Trường hợp nếu Bên C không thực</w:t>
      </w:r>
      <w:r>
        <w:rPr>
          <w:rFonts w:ascii="Times New Roman" w:hAnsi="Times New Roman" w:eastAsia="Times New Roman" w:cs="Times New Roman"/>
          <w:color w:val="000000"/>
          <w:sz w:val="24"/>
        </w:rPr>
        <w:t xml:space="preserve">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C cam kết trong suốt quá trình thẩm định giá chỉ thực hiện thanh toán phần phí thẩm định giá đã được nêu tại Điều 3 HĐDVTĐG và PLHĐDVTĐG (nếu có) trực tiếp vào tài khoản của Bên B đã được ghi tại Điều 4 của HĐDVTĐG này. Mọi khoản chi phí mà Bên C thực </w:t>
      </w:r>
      <w:r>
        <w:rPr>
          <w:rFonts w:ascii="Times New Roman" w:hAnsi="Times New Roman" w:eastAsia="Times New Roman" w:cs="Times New Roman"/>
          <w:color w:val="000000"/>
          <w:sz w:val="24"/>
        </w:rPr>
        <w:t xml:space="preserve">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w:t>
      </w:r>
      <w:r>
        <w:rPr>
          <w:rFonts w:ascii="Times New Roman" w:hAnsi="Times New Roman" w:eastAsia="Times New Roman" w:cs="Times New Roman"/>
          <w:color w:val="000000"/>
          <w:sz w:val="24"/>
        </w:rPr>
        <w:t xml:space="preserve">ả thẩm định giá, làm sai lệch kết quả thẩm định giá (nếu có) thì mọi trách nhiệm có liên quan (bao gồm cả trách nhiệm pháp lý, trách nhiệm về nghĩa vụ kinh tế, tài chính (nếu có)) đến kết quả thẩm định giá thuộc về Bên A và các thành viên bị chi phối tính </w:t>
      </w:r>
      <w:r>
        <w:rPr>
          <w:rFonts w:ascii="Times New Roman" w:hAnsi="Times New Roman" w:eastAsia="Times New Roman" w:cs="Times New Roman"/>
          <w:color w:val="000000"/>
          <w:sz w:val="24"/>
        </w:rPr>
        <w:t xml:space="preserve">độc lập, khách quan.</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Trước khi chấp nhận Bên B ban hành CT, BCTĐG, Bên A có trách nhiệm phải thực hiện đọc kỹ các nội dung và chấp nhận toàn bộ các nội dung đã được ghi trong BBKSTS tài sản, các phương thức, các thông tin đã được trình bày, các tính toán, các ước tính, ước lượ</w:t>
      </w:r>
      <w:r>
        <w:rPr>
          <w:rFonts w:ascii="Times New Roman" w:hAnsi="Times New Roman" w:eastAsia="Times New Roman" w:cs="Times New Roman"/>
          <w:color w:val="000000"/>
          <w:sz w:val="24"/>
        </w:rPr>
        <w:t xml:space="preserve">ng, các ước đoán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w:t>
      </w:r>
      <w:r>
        <w:rPr>
          <w:rFonts w:ascii="Times New Roman" w:hAnsi="Times New Roman" w:eastAsia="Times New Roman" w:cs="Times New Roman"/>
          <w:color w:val="000000"/>
          <w:sz w:val="24"/>
        </w:rPr>
        <w:t xml:space="preserve"> được Bên B trình bày tại CT, BCTĐG mà bên Bên B đã thực hiện cung cấp và ban hành cho Bên A theo thỏa thuận tại HĐDVTĐG này. Nếu Bên A không thực hiện đọc, hiểu rõ và yêu cầu Bên B giải trình (nếu có) thì mọi trách nhiệm cuối cùng thuộc về Bên A.</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Sử dụng CT, BCTĐG do Bên B cung cấp đúng mục đích được ghi rõ trong HĐDVTĐG và các văn bản thẩm định giá. Nếu bên A sử dụng kết quả thẩm định giá sai mục đích thì phải chịu hoàn toàn trách nhiệm trước pháp luật.</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Trong trường hợp Bên A cố ý sử dụng chứng thư sai mục đích đã được quy định tại HĐDVTĐG và CT, BCTĐG mà các hành động này gây phương hại đến uy tín, danh dự của Bên B, thì Bên A phải thực hiện bồi thường cho Bên B những tổn hại này theo quy định của pháp l</w:t>
      </w:r>
      <w:r>
        <w:rPr>
          <w:rFonts w:ascii="Times New Roman" w:hAnsi="Times New Roman" w:eastAsia="Times New Roman" w:cs="Times New Roman"/>
          <w:color w:val="000000"/>
          <w:sz w:val="24"/>
        </w:rPr>
        <w:t xml:space="preserve">uật hiện hành (nếu có)</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CT, BCTĐG do Bên B phát hành không có giá trị thay thế cho bất kỳ loại giấy chứng nhận quyền sở hữu tài sản nào.</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Chịu trách nhiệm về việc thanh toán phí dịch vụ thẩm định giá cho Bên B theo quy định tại Điều 4 của HĐDVTĐG này (kể cả trường hợp không sử dụng kết quả thẩm định). </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Được Bên B cung cấp 02 bộ CT, BCTĐG cho các TSTĐG giá được nêu tại Mục 1.1, Điều 1 HĐDVTĐG này bằng tiếng Việt. Các phụ phí in sao y bản chính CT, BCTĐG hoặc bản dịch ra các thứ tiếng ngoài tiếng Việt sẽ được hai bên thống nhất tại PLHĐDVTĐG khác (nếu có).</w:t>
      </w:r>
      <w:r/>
    </w:p>
    <w:p>
      <w:pPr>
        <w:pBdr>
          <w:top w:val="none" w:color="000000" w:sz="4" w:space="0"/>
          <w:left w:val="none" w:color="000000" w:sz="4" w:space="0"/>
          <w:bottom w:val="none" w:color="000000" w:sz="4" w:space="0"/>
          <w:right w:val="none" w:color="000000" w:sz="4" w:space="0"/>
        </w:pBdr>
        <w:spacing w:after="120" w:before="120" w:line="312" w:lineRule="auto"/>
        <w:ind w:right="0" w:hanging="709" w:left="709"/>
        <w:jc w:val="both"/>
        <w:rPr/>
      </w:pPr>
      <w:r>
        <w:rPr>
          <w:rFonts w:ascii="Times New Roman" w:hAnsi="Times New Roman" w:eastAsia="Times New Roman" w:cs="Times New Roman"/>
          <w:b/>
          <w:color w:val="000000"/>
          <w:sz w:val="24"/>
        </w:rPr>
        <w:t xml:space="preserve">5.2.     Quyền và trách nhiệm của Bên B</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Thực hiện việc thẩm định giá theo đề nghị Bên A đảm bảo tính khách quan, độc lập, chuyên nghiệp, thận trọng theo đúng các quy trình chuyên môn và quy định của pháp luật.</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 hướng dẫn khảo sát </w:t>
      </w:r>
      <w:r>
        <w:rPr>
          <w:rFonts w:ascii="Times New Roman" w:hAnsi="Times New Roman" w:eastAsia="Times New Roman" w:cs="Times New Roman"/>
          <w:color w:val="000000"/>
          <w:sz w:val="24"/>
        </w:rPr>
        <w:t xml:space="preserve">không đúng vị trí tài sản, hiện trạng kỹ thuật, cung cấp hồ sơ pháp lý thiếu trung thực…) hoặc do các điều kiện bất khả kháng như thiên tai, địch họa, dịch họa…(nếu có) gây ảnh hưởng hoặc ảnh hưởng nghiêm trọng đến giá trị của TSTĐG giá được ước tính thì k</w:t>
      </w:r>
      <w:r>
        <w:rPr>
          <w:rFonts w:ascii="Times New Roman" w:hAnsi="Times New Roman" w:eastAsia="Times New Roman" w:cs="Times New Roman"/>
          <w:color w:val="000000"/>
          <w:sz w:val="24"/>
        </w:rPr>
        <w:t xml:space="preserve">hông thuộc phạm vi trách nhiệm của Bên B.</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Bảo đảm bí mật các thông tin tài liệu, hồ sơ liên quan đến dự án thẩm định do Bên A và Bên C cung cấp.</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Cấp cho Bên A và Bên C mỗi bên 01 bản chính Chứng thư thẩm định giá có pháp lý như nhau.</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Chịu trách nhiệm pháp lý về giá trị của số lượng tài sản được thẩm định và số lượng văn bản ban hành về kết quả thẩm định.</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Được nhận đầy đủ các khoản phí theo HĐDVTĐG và các PLHĐDVTĐG (nếu có).</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Các trường hợp Bên B được quyền đơn phương thu hồi CT, BCTĐG, hủy CT, BCTĐG:</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C không hoàn thành nghĩa vụ thanh toán hoặc chỉ hoàn thành tạm ứng hoặc thanh toán một phần theo quy định tại HĐDVTĐG và các PLHĐDVTĐG (nếu có). Trong trường hợp này, hợp đồng sẽ tự động hủy vô điều kiện và  CT, BCTĐG và các văn bản định giá kèm theo s</w:t>
      </w:r>
      <w:r>
        <w:rPr>
          <w:rFonts w:ascii="Times New Roman" w:hAnsi="Times New Roman" w:eastAsia="Times New Roman" w:cs="Times New Roman"/>
          <w:color w:val="000000"/>
          <w:sz w:val="24"/>
        </w:rPr>
        <w:t xml:space="preserve">ẽ tự động hủy vô kiều kiện và không có giá trị pháp lý mà không cần sự chấp thuận của Bên A hoặc Bên C bằng văn bản hoặc bất kỳ hình thức nào khác.</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Phát hiện Bên A hoặc Bên C sử dụng CT, BCTĐG sai mục đích tại bất kỳ thời điểm nào sau khi được Bên B ký, đóng dấu ban hành.</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B phát hiện các hành vi cố ý của các bên liên quan ảnh hưởng đến tính độc lập, chính trực, khách quan (Thanh toán phí thẩm định giá ngoài HĐDVTĐG và các PLHĐDVTĐG (nếu có) cho các bên liên quan mà không được sự chấp nhận của Bên A bằng văn bản; cố ý cu</w:t>
      </w:r>
      <w:r>
        <w:rPr>
          <w:rFonts w:ascii="Times New Roman" w:hAnsi="Times New Roman" w:eastAsia="Times New Roman" w:cs="Times New Roman"/>
          <w:color w:val="000000"/>
          <w:sz w:val="24"/>
        </w:rPr>
        <w:t xml:space="preserve">ng cấp sai lệnh thông tin khảo sát thực trạng tài sản thẩm định giá; cung cấp hồ sơ pháp lý, kỹ thuật không trung thực) cố ý chi phối làm sai lệch nghiêm trọng kết quả thẩm định giá. </w:t>
      </w:r>
      <w:r/>
    </w:p>
    <w:p>
      <w:pPr>
        <w:numPr>
          <w:ilvl w:val="0"/>
          <w:numId w:val="59"/>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Các trường hợp khác theo quy định của luật giá và các văn bản pháp luật khác có liên quan.</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Bên B có quyền không hoàn lại bất kỳ khoản phí nào cho Bên A và các bên liên quan nếu CT, BCTĐG thuộc các trường hợp Bên B được đơn phương thu hồi, thông báo hủy.</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ĐIỀU 6: ĐIỀU KHOẢN THI HÀNH</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Hai bên cam kết tạo điều kiện thuận lợi cho nhau để thực hiện có hiệu quả các điều khoản đã ghi trong HĐDVTĐG này. Mọi thay đổi, bổ sung nội dung của HĐDVTĐG này phải được hai bên cùng thống nhất bằng văn bản.</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Trong quá trình thực hiện HĐDVTĐG 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w:t>
      </w:r>
      <w:r>
        <w:rPr>
          <w:rFonts w:ascii="Times New Roman" w:hAnsi="Times New Roman" w:eastAsia="Times New Roman" w:cs="Times New Roman"/>
          <w:color w:val="000000"/>
          <w:sz w:val="24"/>
        </w:rPr>
        <w:t xml:space="preserve">ấp có thẩm quyền. Quyết định của Toà án là quyết định cuối cùng buộc hai bên phải thực hiện.</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HĐDVTĐG này có hiệu lực kể từ ngày ký và được lập có 06 (sáu) trang và in làm 06 (sáu) bản, bên A giữ 02 (hai) bản, bên B giữ 2 (hai) bản và bên C giữ 2 (hai) bản có giá trị pháp lý như nhau.</w:t>
      </w:r>
      <w:r/>
    </w:p>
    <w:p>
      <w:pPr>
        <w:numPr>
          <w:ilvl w:val="0"/>
          <w:numId w:val="61"/>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color w:val="000000"/>
          <w:sz w:val="24"/>
        </w:rPr>
        <w:t xml:space="preserve">HĐDVTĐG này sẽ tự động thanh lý sau khi bên C thanh toán phí thẩm định cho bên B hoặc thực hiện ký Biên bản nghiệm thu, thanh lý hợp đồng bởi hai bên tùy theo nhu cầu và điều kiện thực tế.</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709"/>
        <w:jc w:val="both"/>
        <w:rPr/>
      </w:pPr>
      <w:r>
        <w:rPr>
          <w:rFonts w:ascii="Times New Roman" w:hAnsi="Times New Roman" w:eastAsia="Times New Roman" w:cs="Times New Roman"/>
          <w:color w:val="000000"/>
          <w:sz w:val="24"/>
        </w:rPr>
        <w:t xml:space="preserve"> </w:t>
      </w:r>
      <w:r/>
    </w:p>
    <w:tbl>
      <w:tblPr>
        <w:tblStyle w:val="1033"/>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9564"/>
        <w:gridCol w:w="49636"/>
        <w:gridCol w:w="49636"/>
      </w:tblGrid>
      <w:tr>
        <w:trPr/>
        <w:tc>
          <w:tcPr>
            <w:tcBorders/>
            <w:tcMar>
              <w:left w:w="108" w:type="dxa"/>
              <w:top w:w="0" w:type="dxa"/>
              <w:right w:w="108" w:type="dxa"/>
              <w:bottom w:w="0" w:type="dxa"/>
            </w:tcMar>
            <w:tcW w:w="49564"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ĐẠI DIỆN BÊN A</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9636"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ĐẠI DIỆN BÊN B</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9636"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ĐẠI DIỆN BÊN C</w:t>
            </w:r>
            <w:r/>
          </w:p>
        </w:tc>
      </w:tr>
    </w:tbl>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 </w:t>
      </w:r>
      <w:r/>
    </w:p>
    <w:p>
      <w:pPr>
        <w:pBdr/>
        <w:spacing/>
        <w:ind/>
        <w:rPr/>
      </w:pPr>
      <w: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1025"/>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framePr w:hAnchor="margin" w:vAnchor="text" w:wrap="around" w:xAlign="right" w:y="1"/>
      <w:pBdr/>
      <w:spacing/>
      <w:ind/>
      <w:rPr>
        <w:rStyle w:val="1027"/>
      </w:rPr>
    </w:pPr>
    <w:r>
      <w:rPr>
        <w:rStyle w:val="1027"/>
      </w:rPr>
      <w:fldChar w:fldCharType="begin"/>
    </w:r>
    <w:r>
      <w:rPr>
        <w:rStyle w:val="1027"/>
      </w:rPr>
      <w:instrText xml:space="preserve">PAGE  </w:instrText>
    </w:r>
    <w:r>
      <w:rPr>
        <w:rStyle w:val="1027"/>
      </w:rPr>
      <w:fldChar w:fldCharType="end"/>
    </w:r>
    <w:r>
      <w:rPr>
        <w:rStyle w:val="1027"/>
      </w:rPr>
    </w:r>
    <w:r>
      <w:rPr>
        <w:rStyle w:val="1027"/>
      </w:rPr>
    </w:r>
  </w:p>
  <w:p>
    <w:pPr>
      <w:pStyle w:val="1025"/>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61DD749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5">
    <w:nsid w:val="735198E6"/>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6">
    <w:nsid w:val="5F456100"/>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7">
    <w:nsid w:val="7748ED9F"/>
    <w:lvl w:ilvl="0">
      <w:isLgl w:val="false"/>
      <w:lvlJc w:val="left"/>
      <w:lvlText w:val="%1."/>
      <w:numFmt w:val="upperLetter"/>
      <w:pPr>
        <w:pBdr/>
        <w:spacing/>
        <w:ind w:hanging="360" w:left="720"/>
      </w:pPr>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8">
    <w:nsid w:val="15A2E15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39">
    <w:nsid w:val="4E85E3B6"/>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720" w:left="1440"/>
      </w:pPr>
      <w:rPr/>
      <w:start w:val="1"/>
      <w:suff w:val="tab"/>
    </w:lvl>
    <w:lvl w:ilvl="3">
      <w:isLgl w:val="false"/>
      <w:lvlJc w:val="left"/>
      <w:lvlText w:val="%1.%2.%3.%4."/>
      <w:numFmt w:val="decimal"/>
      <w:pPr>
        <w:pBdr/>
        <w:spacing/>
        <w:ind w:hanging="720" w:left="1800"/>
      </w:pPr>
      <w:rPr/>
      <w:start w:val="1"/>
      <w:suff w:val="tab"/>
    </w:lvl>
    <w:lvl w:ilvl="4">
      <w:isLgl w:val="false"/>
      <w:lvlJc w:val="left"/>
      <w:lvlText w:val="%1.%2.%3.%4.%5."/>
      <w:numFmt w:val="decimal"/>
      <w:pPr>
        <w:pBdr/>
        <w:spacing/>
        <w:ind w:hanging="1080" w:left="2520"/>
      </w:pPr>
      <w:rPr/>
      <w:start w:val="1"/>
      <w:suff w:val="tab"/>
    </w:lvl>
    <w:lvl w:ilvl="5">
      <w:isLgl w:val="false"/>
      <w:lvlJc w:val="left"/>
      <w:lvlText w:val="%1.%2.%3.%4.%5.%6."/>
      <w:numFmt w:val="decimal"/>
      <w:pPr>
        <w:pBdr/>
        <w:spacing/>
        <w:ind w:hanging="1080" w:left="2880"/>
      </w:pPr>
      <w:rPr/>
      <w:start w:val="1"/>
      <w:suff w:val="tab"/>
    </w:lvl>
    <w:lvl w:ilvl="6">
      <w:isLgl w:val="false"/>
      <w:lvlJc w:val="left"/>
      <w:lvlText w:val="%1.%2.%3.%4.%5.%6.%7."/>
      <w:numFmt w:val="decimal"/>
      <w:pPr>
        <w:pBdr/>
        <w:spacing/>
        <w:ind w:hanging="1440" w:left="3600"/>
      </w:pPr>
      <w:rPr/>
      <w:start w:val="1"/>
      <w:suff w:val="tab"/>
    </w:lvl>
    <w:lvl w:ilvl="7">
      <w:isLgl w:val="false"/>
      <w:lvlJc w:val="left"/>
      <w:lvlText w:val="%1.%2.%3.%4.%5.%6.%7.%8."/>
      <w:numFmt w:val="decimal"/>
      <w:pPr>
        <w:pBdr/>
        <w:spacing/>
        <w:ind w:hanging="1440" w:left="3960"/>
      </w:pPr>
      <w:rPr/>
      <w:start w:val="1"/>
      <w:suff w:val="tab"/>
    </w:lvl>
    <w:lvl w:ilvl="8">
      <w:isLgl w:val="false"/>
      <w:lvlJc w:val="left"/>
      <w:lvlText w:val="%1.%2.%3.%4.%5.%6.%7.%8.%9."/>
      <w:numFmt w:val="decimal"/>
      <w:pPr>
        <w:pBdr/>
        <w:spacing/>
        <w:ind w:hanging="1800" w:left="4680"/>
      </w:pPr>
      <w:rPr/>
      <w:start w:val="1"/>
      <w:suff w:val="tab"/>
    </w:lvl>
  </w:abstractNum>
  <w:abstractNum w:abstractNumId="40">
    <w:nsid w:val="6D02CFA2"/>
    <w:lvl w:ilvl="0">
      <w:isLgl w:val="false"/>
      <w:lvlJc w:val="left"/>
      <w:lvlText w:val="-"/>
      <w:numFmt w:val="bullet"/>
      <w:pPr>
        <w:pBdr/>
        <w:spacing/>
        <w:ind w:hanging="360" w:left="927"/>
      </w:pPr>
      <w:rPr>
        <w:rFonts w:hint="default" w:ascii="Symbol" w:hAnsi="Symbol" w:eastAsia="Symbol" w:cs="Symbol"/>
      </w:rPr>
      <w:start w:val="1"/>
      <w:suff w:val="tab"/>
    </w:lvl>
    <w:lvl w:ilvl="1">
      <w:isLgl w:val="false"/>
      <w:lvlJc w:val="left"/>
      <w:lvlText w:val="o"/>
      <w:numFmt w:val="bullet"/>
      <w:pPr>
        <w:pBdr/>
        <w:spacing/>
        <w:ind w:hanging="360" w:left="1647"/>
      </w:pPr>
      <w:rPr>
        <w:rFonts w:hint="default" w:ascii="Courier New" w:hAnsi="Courier New" w:eastAsia="Courier New" w:cs="Courier New"/>
      </w:rPr>
      <w:start w:val="1"/>
      <w:suff w:val="tab"/>
    </w:lvl>
    <w:lvl w:ilvl="2">
      <w:isLgl w:val="false"/>
      <w:lvlJc w:val="left"/>
      <w:lvlText w:val=""/>
      <w:numFmt w:val="bullet"/>
      <w:pPr>
        <w:pBdr/>
        <w:spacing/>
        <w:ind w:hanging="360" w:left="2367"/>
      </w:pPr>
      <w:rPr>
        <w:rFonts w:hint="default" w:ascii="Wingdings" w:hAnsi="Wingdings" w:eastAsia="Wingdings" w:cs="Wingdings"/>
      </w:rPr>
      <w:start w:val="1"/>
      <w:suff w:val="tab"/>
    </w:lvl>
    <w:lvl w:ilvl="3">
      <w:isLgl w:val="false"/>
      <w:lvlJc w:val="left"/>
      <w:lvlText w:val=""/>
      <w:numFmt w:val="bullet"/>
      <w:pPr>
        <w:pBdr/>
        <w:spacing/>
        <w:ind w:hanging="360" w:left="3087"/>
      </w:pPr>
      <w:rPr>
        <w:rFonts w:hint="default" w:ascii="Symbol" w:hAnsi="Symbol" w:eastAsia="Symbol" w:cs="Symbol"/>
      </w:rPr>
      <w:start w:val="1"/>
      <w:suff w:val="tab"/>
    </w:lvl>
    <w:lvl w:ilvl="4">
      <w:isLgl w:val="false"/>
      <w:lvlJc w:val="left"/>
      <w:lvlText w:val="o"/>
      <w:numFmt w:val="bullet"/>
      <w:pPr>
        <w:pBdr/>
        <w:spacing/>
        <w:ind w:hanging="360" w:left="3807"/>
      </w:pPr>
      <w:rPr>
        <w:rFonts w:hint="default" w:ascii="Courier New" w:hAnsi="Courier New" w:eastAsia="Courier New" w:cs="Courier New"/>
      </w:rPr>
      <w:start w:val="1"/>
      <w:suff w:val="tab"/>
    </w:lvl>
    <w:lvl w:ilvl="5">
      <w:isLgl w:val="false"/>
      <w:lvlJc w:val="left"/>
      <w:lvlText w:val=""/>
      <w:numFmt w:val="bullet"/>
      <w:pPr>
        <w:pBdr/>
        <w:spacing/>
        <w:ind w:hanging="360" w:left="4527"/>
      </w:pPr>
      <w:rPr>
        <w:rFonts w:hint="default" w:ascii="Wingdings" w:hAnsi="Wingdings" w:eastAsia="Wingdings" w:cs="Wingdings"/>
      </w:rPr>
      <w:start w:val="1"/>
      <w:suff w:val="tab"/>
    </w:lvl>
    <w:lvl w:ilvl="6">
      <w:isLgl w:val="false"/>
      <w:lvlJc w:val="left"/>
      <w:lvlText w:val=""/>
      <w:numFmt w:val="bullet"/>
      <w:pPr>
        <w:pBdr/>
        <w:spacing/>
        <w:ind w:hanging="360" w:left="5247"/>
      </w:pPr>
      <w:rPr>
        <w:rFonts w:hint="default" w:ascii="Symbol" w:hAnsi="Symbol" w:eastAsia="Symbol" w:cs="Symbol"/>
      </w:rPr>
      <w:start w:val="1"/>
      <w:suff w:val="tab"/>
    </w:lvl>
    <w:lvl w:ilvl="7">
      <w:isLgl w:val="false"/>
      <w:lvlJc w:val="left"/>
      <w:lvlText w:val="o"/>
      <w:numFmt w:val="bullet"/>
      <w:pPr>
        <w:pBdr/>
        <w:spacing/>
        <w:ind w:hanging="360" w:left="5967"/>
      </w:pPr>
      <w:rPr>
        <w:rFonts w:hint="default" w:ascii="Courier New" w:hAnsi="Courier New" w:eastAsia="Courier New" w:cs="Courier New"/>
      </w:rPr>
      <w:start w:val="1"/>
      <w:suff w:val="tab"/>
    </w:lvl>
    <w:lvl w:ilvl="8">
      <w:isLgl w:val="false"/>
      <w:lvlJc w:val="left"/>
      <w:lvlText w:val=""/>
      <w:numFmt w:val="bullet"/>
      <w:pPr>
        <w:pBdr/>
        <w:spacing/>
        <w:ind w:hanging="360" w:left="6687"/>
      </w:pPr>
      <w:rPr>
        <w:rFonts w:hint="default" w:ascii="Wingdings" w:hAnsi="Wingdings" w:eastAsia="Wingdings" w:cs="Wingdings"/>
      </w:rPr>
      <w:start w:val="1"/>
      <w:suff w:val="tab"/>
    </w:lvl>
  </w:abstractNum>
  <w:abstractNum w:abstractNumId="41">
    <w:nsid w:val="79808365"/>
    <w:lvl w:ilvl="0">
      <w:isLgl w:val="false"/>
      <w:lvlJc w:val="left"/>
      <w:lvlText w:val=""/>
      <w:numFmt w:val="bullet"/>
      <w:pPr>
        <w:pBdr/>
        <w:spacing/>
        <w:ind w:hanging="360" w:left="1426"/>
      </w:pPr>
      <w:rPr>
        <w:rFonts w:hint="default" w:ascii="Symbol" w:hAnsi="Symbol" w:eastAsia="Symbol" w:cs="Symbol"/>
      </w:rPr>
      <w:start w:val="1"/>
      <w:suff w:val="tab"/>
    </w:lvl>
    <w:lvl w:ilvl="1">
      <w:isLgl w:val="false"/>
      <w:lvlJc w:val="left"/>
      <w:lvlText w:val="o"/>
      <w:numFmt w:val="bullet"/>
      <w:pPr>
        <w:pBdr/>
        <w:spacing/>
        <w:ind w:hanging="360" w:left="2146"/>
      </w:pPr>
      <w:rPr>
        <w:rFonts w:hint="default" w:ascii="Courier New" w:hAnsi="Courier New" w:eastAsia="Courier New" w:cs="Courier New"/>
      </w:rPr>
      <w:start w:val="1"/>
      <w:suff w:val="tab"/>
    </w:lvl>
    <w:lvl w:ilvl="2">
      <w:isLgl w:val="false"/>
      <w:lvlJc w:val="left"/>
      <w:lvlText w:val=""/>
      <w:numFmt w:val="bullet"/>
      <w:pPr>
        <w:pBdr/>
        <w:spacing/>
        <w:ind w:hanging="360" w:left="2866"/>
      </w:pPr>
      <w:rPr>
        <w:rFonts w:hint="default" w:ascii="Wingdings" w:hAnsi="Wingdings" w:eastAsia="Wingdings" w:cs="Wingdings"/>
      </w:rPr>
      <w:start w:val="1"/>
      <w:suff w:val="tab"/>
    </w:lvl>
    <w:lvl w:ilvl="3">
      <w:isLgl w:val="false"/>
      <w:lvlJc w:val="left"/>
      <w:lvlText w:val=""/>
      <w:numFmt w:val="bullet"/>
      <w:pPr>
        <w:pBdr/>
        <w:spacing/>
        <w:ind w:hanging="360" w:left="3586"/>
      </w:pPr>
      <w:rPr>
        <w:rFonts w:hint="default" w:ascii="Symbol" w:hAnsi="Symbol" w:eastAsia="Symbol" w:cs="Symbol"/>
      </w:rPr>
      <w:start w:val="1"/>
      <w:suff w:val="tab"/>
    </w:lvl>
    <w:lvl w:ilvl="4">
      <w:isLgl w:val="false"/>
      <w:lvlJc w:val="left"/>
      <w:lvlText w:val="o"/>
      <w:numFmt w:val="bullet"/>
      <w:pPr>
        <w:pBdr/>
        <w:spacing/>
        <w:ind w:hanging="360" w:left="4306"/>
      </w:pPr>
      <w:rPr>
        <w:rFonts w:hint="default" w:ascii="Courier New" w:hAnsi="Courier New" w:eastAsia="Courier New" w:cs="Courier New"/>
      </w:rPr>
      <w:start w:val="1"/>
      <w:suff w:val="tab"/>
    </w:lvl>
    <w:lvl w:ilvl="5">
      <w:isLgl w:val="false"/>
      <w:lvlJc w:val="left"/>
      <w:lvlText w:val=""/>
      <w:numFmt w:val="bullet"/>
      <w:pPr>
        <w:pBdr/>
        <w:spacing/>
        <w:ind w:hanging="360" w:left="5026"/>
      </w:pPr>
      <w:rPr>
        <w:rFonts w:hint="default" w:ascii="Wingdings" w:hAnsi="Wingdings" w:eastAsia="Wingdings" w:cs="Wingdings"/>
      </w:rPr>
      <w:start w:val="1"/>
      <w:suff w:val="tab"/>
    </w:lvl>
    <w:lvl w:ilvl="6">
      <w:isLgl w:val="false"/>
      <w:lvlJc w:val="left"/>
      <w:lvlText w:val=""/>
      <w:numFmt w:val="bullet"/>
      <w:pPr>
        <w:pBdr/>
        <w:spacing/>
        <w:ind w:hanging="360" w:left="5746"/>
      </w:pPr>
      <w:rPr>
        <w:rFonts w:hint="default" w:ascii="Symbol" w:hAnsi="Symbol" w:eastAsia="Symbol" w:cs="Symbol"/>
      </w:rPr>
      <w:start w:val="1"/>
      <w:suff w:val="tab"/>
    </w:lvl>
    <w:lvl w:ilvl="7">
      <w:isLgl w:val="false"/>
      <w:lvlJc w:val="left"/>
      <w:lvlText w:val="o"/>
      <w:numFmt w:val="bullet"/>
      <w:pPr>
        <w:pBdr/>
        <w:spacing/>
        <w:ind w:hanging="360" w:left="6466"/>
      </w:pPr>
      <w:rPr>
        <w:rFonts w:hint="default" w:ascii="Courier New" w:hAnsi="Courier New" w:eastAsia="Courier New" w:cs="Courier New"/>
      </w:rPr>
      <w:start w:val="1"/>
      <w:suff w:val="tab"/>
    </w:lvl>
    <w:lvl w:ilvl="8">
      <w:isLgl w:val="false"/>
      <w:lvlJc w:val="left"/>
      <w:lvlText w:val=""/>
      <w:numFmt w:val="bullet"/>
      <w:pPr>
        <w:pBdr/>
        <w:spacing/>
        <w:ind w:hanging="360" w:left="7186"/>
      </w:pPr>
      <w:rPr>
        <w:rFonts w:hint="default" w:ascii="Wingdings" w:hAnsi="Wingdings" w:eastAsia="Wingdings" w:cs="Wingdings"/>
      </w:rPr>
      <w:start w:val="1"/>
      <w:suff w:val="tab"/>
    </w:lvl>
  </w:abstractNum>
  <w:abstractNum w:abstractNumId="42">
    <w:nsid w:val="6816DA8B"/>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275DBB4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4">
    <w:nsid w:val="77DAFEB6"/>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5">
    <w:nsid w:val="6CDD881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6">
    <w:nsid w:val="5FB20419"/>
    <w:lvl w:ilvl="0">
      <w:isLgl w:val="false"/>
      <w:lvlJc w:val="left"/>
      <w:lvlText w:val="%1."/>
      <w:numFmt w:val="upperLetter"/>
      <w:pPr>
        <w:pBdr/>
        <w:spacing/>
        <w:ind w:hanging="360" w:left="720"/>
      </w:pPr>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7">
    <w:nsid w:val="29A67D7E"/>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8">
    <w:nsid w:val="74B1DD6E"/>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720" w:left="1440"/>
      </w:pPr>
      <w:rPr/>
      <w:start w:val="1"/>
      <w:suff w:val="tab"/>
    </w:lvl>
    <w:lvl w:ilvl="3">
      <w:isLgl w:val="false"/>
      <w:lvlJc w:val="left"/>
      <w:lvlText w:val="%1.%2.%3.%4."/>
      <w:numFmt w:val="decimal"/>
      <w:pPr>
        <w:pBdr/>
        <w:spacing/>
        <w:ind w:hanging="720" w:left="1800"/>
      </w:pPr>
      <w:rPr/>
      <w:start w:val="1"/>
      <w:suff w:val="tab"/>
    </w:lvl>
    <w:lvl w:ilvl="4">
      <w:isLgl w:val="false"/>
      <w:lvlJc w:val="left"/>
      <w:lvlText w:val="%1.%2.%3.%4.%5."/>
      <w:numFmt w:val="decimal"/>
      <w:pPr>
        <w:pBdr/>
        <w:spacing/>
        <w:ind w:hanging="1080" w:left="2520"/>
      </w:pPr>
      <w:rPr/>
      <w:start w:val="1"/>
      <w:suff w:val="tab"/>
    </w:lvl>
    <w:lvl w:ilvl="5">
      <w:isLgl w:val="false"/>
      <w:lvlJc w:val="left"/>
      <w:lvlText w:val="%1.%2.%3.%4.%5.%6."/>
      <w:numFmt w:val="decimal"/>
      <w:pPr>
        <w:pBdr/>
        <w:spacing/>
        <w:ind w:hanging="1080" w:left="2880"/>
      </w:pPr>
      <w:rPr/>
      <w:start w:val="1"/>
      <w:suff w:val="tab"/>
    </w:lvl>
    <w:lvl w:ilvl="6">
      <w:isLgl w:val="false"/>
      <w:lvlJc w:val="left"/>
      <w:lvlText w:val="%1.%2.%3.%4.%5.%6.%7."/>
      <w:numFmt w:val="decimal"/>
      <w:pPr>
        <w:pBdr/>
        <w:spacing/>
        <w:ind w:hanging="1440" w:left="3600"/>
      </w:pPr>
      <w:rPr/>
      <w:start w:val="1"/>
      <w:suff w:val="tab"/>
    </w:lvl>
    <w:lvl w:ilvl="7">
      <w:isLgl w:val="false"/>
      <w:lvlJc w:val="left"/>
      <w:lvlText w:val="%1.%2.%3.%4.%5.%6.%7.%8."/>
      <w:numFmt w:val="decimal"/>
      <w:pPr>
        <w:pBdr/>
        <w:spacing/>
        <w:ind w:hanging="1440" w:left="3960"/>
      </w:pPr>
      <w:rPr/>
      <w:start w:val="1"/>
      <w:suff w:val="tab"/>
    </w:lvl>
    <w:lvl w:ilvl="8">
      <w:isLgl w:val="false"/>
      <w:lvlJc w:val="left"/>
      <w:lvlText w:val="%1.%2.%3.%4.%5.%6.%7.%8.%9."/>
      <w:numFmt w:val="decimal"/>
      <w:pPr>
        <w:pBdr/>
        <w:spacing/>
        <w:ind w:hanging="1800" w:left="4680"/>
      </w:pPr>
      <w:rPr/>
      <w:start w:val="1"/>
      <w:suff w:val="tab"/>
    </w:lvl>
  </w:abstractNum>
  <w:abstractNum w:abstractNumId="49">
    <w:nsid w:val="0A3BC4DD"/>
    <w:lvl w:ilvl="0">
      <w:isLgl w:val="false"/>
      <w:lvlJc w:val="left"/>
      <w:lvlText w:val="-"/>
      <w:numFmt w:val="bullet"/>
      <w:pPr>
        <w:pBdr/>
        <w:spacing/>
        <w:ind w:hanging="360" w:left="927"/>
      </w:pPr>
      <w:rPr>
        <w:rFonts w:hint="default" w:ascii="Symbol" w:hAnsi="Symbol" w:eastAsia="Symbol" w:cs="Symbol"/>
      </w:rPr>
      <w:start w:val="1"/>
      <w:suff w:val="tab"/>
    </w:lvl>
    <w:lvl w:ilvl="1">
      <w:isLgl w:val="false"/>
      <w:lvlJc w:val="left"/>
      <w:lvlText w:val="o"/>
      <w:numFmt w:val="bullet"/>
      <w:pPr>
        <w:pBdr/>
        <w:spacing/>
        <w:ind w:hanging="360" w:left="1647"/>
      </w:pPr>
      <w:rPr>
        <w:rFonts w:hint="default" w:ascii="Courier New" w:hAnsi="Courier New" w:eastAsia="Courier New" w:cs="Courier New"/>
      </w:rPr>
      <w:start w:val="1"/>
      <w:suff w:val="tab"/>
    </w:lvl>
    <w:lvl w:ilvl="2">
      <w:isLgl w:val="false"/>
      <w:lvlJc w:val="left"/>
      <w:lvlText w:val=""/>
      <w:numFmt w:val="bullet"/>
      <w:pPr>
        <w:pBdr/>
        <w:spacing/>
        <w:ind w:hanging="360" w:left="2367"/>
      </w:pPr>
      <w:rPr>
        <w:rFonts w:hint="default" w:ascii="Wingdings" w:hAnsi="Wingdings" w:eastAsia="Wingdings" w:cs="Wingdings"/>
      </w:rPr>
      <w:start w:val="1"/>
      <w:suff w:val="tab"/>
    </w:lvl>
    <w:lvl w:ilvl="3">
      <w:isLgl w:val="false"/>
      <w:lvlJc w:val="left"/>
      <w:lvlText w:val=""/>
      <w:numFmt w:val="bullet"/>
      <w:pPr>
        <w:pBdr/>
        <w:spacing/>
        <w:ind w:hanging="360" w:left="3087"/>
      </w:pPr>
      <w:rPr>
        <w:rFonts w:hint="default" w:ascii="Symbol" w:hAnsi="Symbol" w:eastAsia="Symbol" w:cs="Symbol"/>
      </w:rPr>
      <w:start w:val="1"/>
      <w:suff w:val="tab"/>
    </w:lvl>
    <w:lvl w:ilvl="4">
      <w:isLgl w:val="false"/>
      <w:lvlJc w:val="left"/>
      <w:lvlText w:val="o"/>
      <w:numFmt w:val="bullet"/>
      <w:pPr>
        <w:pBdr/>
        <w:spacing/>
        <w:ind w:hanging="360" w:left="3807"/>
      </w:pPr>
      <w:rPr>
        <w:rFonts w:hint="default" w:ascii="Courier New" w:hAnsi="Courier New" w:eastAsia="Courier New" w:cs="Courier New"/>
      </w:rPr>
      <w:start w:val="1"/>
      <w:suff w:val="tab"/>
    </w:lvl>
    <w:lvl w:ilvl="5">
      <w:isLgl w:val="false"/>
      <w:lvlJc w:val="left"/>
      <w:lvlText w:val=""/>
      <w:numFmt w:val="bullet"/>
      <w:pPr>
        <w:pBdr/>
        <w:spacing/>
        <w:ind w:hanging="360" w:left="4527"/>
      </w:pPr>
      <w:rPr>
        <w:rFonts w:hint="default" w:ascii="Wingdings" w:hAnsi="Wingdings" w:eastAsia="Wingdings" w:cs="Wingdings"/>
      </w:rPr>
      <w:start w:val="1"/>
      <w:suff w:val="tab"/>
    </w:lvl>
    <w:lvl w:ilvl="6">
      <w:isLgl w:val="false"/>
      <w:lvlJc w:val="left"/>
      <w:lvlText w:val=""/>
      <w:numFmt w:val="bullet"/>
      <w:pPr>
        <w:pBdr/>
        <w:spacing/>
        <w:ind w:hanging="360" w:left="5247"/>
      </w:pPr>
      <w:rPr>
        <w:rFonts w:hint="default" w:ascii="Symbol" w:hAnsi="Symbol" w:eastAsia="Symbol" w:cs="Symbol"/>
      </w:rPr>
      <w:start w:val="1"/>
      <w:suff w:val="tab"/>
    </w:lvl>
    <w:lvl w:ilvl="7">
      <w:isLgl w:val="false"/>
      <w:lvlJc w:val="left"/>
      <w:lvlText w:val="o"/>
      <w:numFmt w:val="bullet"/>
      <w:pPr>
        <w:pBdr/>
        <w:spacing/>
        <w:ind w:hanging="360" w:left="5967"/>
      </w:pPr>
      <w:rPr>
        <w:rFonts w:hint="default" w:ascii="Courier New" w:hAnsi="Courier New" w:eastAsia="Courier New" w:cs="Courier New"/>
      </w:rPr>
      <w:start w:val="1"/>
      <w:suff w:val="tab"/>
    </w:lvl>
    <w:lvl w:ilvl="8">
      <w:isLgl w:val="false"/>
      <w:lvlJc w:val="left"/>
      <w:lvlText w:val=""/>
      <w:numFmt w:val="bullet"/>
      <w:pPr>
        <w:pBdr/>
        <w:spacing/>
        <w:ind w:hanging="360" w:left="6687"/>
      </w:pPr>
      <w:rPr>
        <w:rFonts w:hint="default" w:ascii="Wingdings" w:hAnsi="Wingdings" w:eastAsia="Wingdings" w:cs="Wingdings"/>
      </w:rPr>
      <w:start w:val="1"/>
      <w:suff w:val="tab"/>
    </w:lvl>
  </w:abstractNum>
  <w:abstractNum w:abstractNumId="50">
    <w:nsid w:val="5AD29242"/>
    <w:lvl w:ilvl="0">
      <w:isLgl w:val="false"/>
      <w:lvlJc w:val="left"/>
      <w:lvlText w:val=""/>
      <w:numFmt w:val="bullet"/>
      <w:pPr>
        <w:pBdr/>
        <w:spacing/>
        <w:ind w:hanging="360" w:left="1426"/>
      </w:pPr>
      <w:rPr>
        <w:rFonts w:hint="default" w:ascii="Symbol" w:hAnsi="Symbol" w:eastAsia="Symbol" w:cs="Symbol"/>
      </w:rPr>
      <w:start w:val="1"/>
      <w:suff w:val="tab"/>
    </w:lvl>
    <w:lvl w:ilvl="1">
      <w:isLgl w:val="false"/>
      <w:lvlJc w:val="left"/>
      <w:lvlText w:val="o"/>
      <w:numFmt w:val="bullet"/>
      <w:pPr>
        <w:pBdr/>
        <w:spacing/>
        <w:ind w:hanging="360" w:left="2146"/>
      </w:pPr>
      <w:rPr>
        <w:rFonts w:hint="default" w:ascii="Courier New" w:hAnsi="Courier New" w:eastAsia="Courier New" w:cs="Courier New"/>
      </w:rPr>
      <w:start w:val="1"/>
      <w:suff w:val="tab"/>
    </w:lvl>
    <w:lvl w:ilvl="2">
      <w:isLgl w:val="false"/>
      <w:lvlJc w:val="left"/>
      <w:lvlText w:val=""/>
      <w:numFmt w:val="bullet"/>
      <w:pPr>
        <w:pBdr/>
        <w:spacing/>
        <w:ind w:hanging="360" w:left="2866"/>
      </w:pPr>
      <w:rPr>
        <w:rFonts w:hint="default" w:ascii="Wingdings" w:hAnsi="Wingdings" w:eastAsia="Wingdings" w:cs="Wingdings"/>
      </w:rPr>
      <w:start w:val="1"/>
      <w:suff w:val="tab"/>
    </w:lvl>
    <w:lvl w:ilvl="3">
      <w:isLgl w:val="false"/>
      <w:lvlJc w:val="left"/>
      <w:lvlText w:val=""/>
      <w:numFmt w:val="bullet"/>
      <w:pPr>
        <w:pBdr/>
        <w:spacing/>
        <w:ind w:hanging="360" w:left="3586"/>
      </w:pPr>
      <w:rPr>
        <w:rFonts w:hint="default" w:ascii="Symbol" w:hAnsi="Symbol" w:eastAsia="Symbol" w:cs="Symbol"/>
      </w:rPr>
      <w:start w:val="1"/>
      <w:suff w:val="tab"/>
    </w:lvl>
    <w:lvl w:ilvl="4">
      <w:isLgl w:val="false"/>
      <w:lvlJc w:val="left"/>
      <w:lvlText w:val="o"/>
      <w:numFmt w:val="bullet"/>
      <w:pPr>
        <w:pBdr/>
        <w:spacing/>
        <w:ind w:hanging="360" w:left="4306"/>
      </w:pPr>
      <w:rPr>
        <w:rFonts w:hint="default" w:ascii="Courier New" w:hAnsi="Courier New" w:eastAsia="Courier New" w:cs="Courier New"/>
      </w:rPr>
      <w:start w:val="1"/>
      <w:suff w:val="tab"/>
    </w:lvl>
    <w:lvl w:ilvl="5">
      <w:isLgl w:val="false"/>
      <w:lvlJc w:val="left"/>
      <w:lvlText w:val=""/>
      <w:numFmt w:val="bullet"/>
      <w:pPr>
        <w:pBdr/>
        <w:spacing/>
        <w:ind w:hanging="360" w:left="5026"/>
      </w:pPr>
      <w:rPr>
        <w:rFonts w:hint="default" w:ascii="Wingdings" w:hAnsi="Wingdings" w:eastAsia="Wingdings" w:cs="Wingdings"/>
      </w:rPr>
      <w:start w:val="1"/>
      <w:suff w:val="tab"/>
    </w:lvl>
    <w:lvl w:ilvl="6">
      <w:isLgl w:val="false"/>
      <w:lvlJc w:val="left"/>
      <w:lvlText w:val=""/>
      <w:numFmt w:val="bullet"/>
      <w:pPr>
        <w:pBdr/>
        <w:spacing/>
        <w:ind w:hanging="360" w:left="5746"/>
      </w:pPr>
      <w:rPr>
        <w:rFonts w:hint="default" w:ascii="Symbol" w:hAnsi="Symbol" w:eastAsia="Symbol" w:cs="Symbol"/>
      </w:rPr>
      <w:start w:val="1"/>
      <w:suff w:val="tab"/>
    </w:lvl>
    <w:lvl w:ilvl="7">
      <w:isLgl w:val="false"/>
      <w:lvlJc w:val="left"/>
      <w:lvlText w:val="o"/>
      <w:numFmt w:val="bullet"/>
      <w:pPr>
        <w:pBdr/>
        <w:spacing/>
        <w:ind w:hanging="360" w:left="6466"/>
      </w:pPr>
      <w:rPr>
        <w:rFonts w:hint="default" w:ascii="Courier New" w:hAnsi="Courier New" w:eastAsia="Courier New" w:cs="Courier New"/>
      </w:rPr>
      <w:start w:val="1"/>
      <w:suff w:val="tab"/>
    </w:lvl>
    <w:lvl w:ilvl="8">
      <w:isLgl w:val="false"/>
      <w:lvlJc w:val="left"/>
      <w:lvlText w:val=""/>
      <w:numFmt w:val="bullet"/>
      <w:pPr>
        <w:pBdr/>
        <w:spacing/>
        <w:ind w:hanging="360" w:left="7186"/>
      </w:pPr>
      <w:rPr>
        <w:rFonts w:hint="default" w:ascii="Wingdings" w:hAnsi="Wingdings" w:eastAsia="Wingdings" w:cs="Wingdings"/>
      </w:rPr>
      <w:start w:val="1"/>
      <w:suff w:val="tab"/>
    </w:lvl>
  </w:abstractNum>
  <w:abstractNum w:abstractNumId="51">
    <w:nsid w:val="5D7F2BF6"/>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2">
    <w:nsid w:val="5AAD84E7"/>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3">
    <w:nsid w:val="575796ED"/>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4">
    <w:nsid w:val="7891E14E"/>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5">
    <w:nsid w:val="18E1B8BF"/>
    <w:lvl w:ilvl="0">
      <w:isLgl w:val="false"/>
      <w:lvlJc w:val="left"/>
      <w:lvlText w:val="%1."/>
      <w:numFmt w:val="upperLetter"/>
      <w:pPr>
        <w:pBdr/>
        <w:spacing/>
        <w:ind w:hanging="360" w:left="720"/>
      </w:pPr>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6">
    <w:nsid w:val="48BB1444"/>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57">
    <w:nsid w:val="4FC5CE44"/>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720" w:left="1440"/>
      </w:pPr>
      <w:rPr/>
      <w:start w:val="1"/>
      <w:suff w:val="tab"/>
    </w:lvl>
    <w:lvl w:ilvl="3">
      <w:isLgl w:val="false"/>
      <w:lvlJc w:val="left"/>
      <w:lvlText w:val="%1.%2.%3.%4."/>
      <w:numFmt w:val="decimal"/>
      <w:pPr>
        <w:pBdr/>
        <w:spacing/>
        <w:ind w:hanging="720" w:left="1800"/>
      </w:pPr>
      <w:rPr/>
      <w:start w:val="1"/>
      <w:suff w:val="tab"/>
    </w:lvl>
    <w:lvl w:ilvl="4">
      <w:isLgl w:val="false"/>
      <w:lvlJc w:val="left"/>
      <w:lvlText w:val="%1.%2.%3.%4.%5."/>
      <w:numFmt w:val="decimal"/>
      <w:pPr>
        <w:pBdr/>
        <w:spacing/>
        <w:ind w:hanging="1080" w:left="2520"/>
      </w:pPr>
      <w:rPr/>
      <w:start w:val="1"/>
      <w:suff w:val="tab"/>
    </w:lvl>
    <w:lvl w:ilvl="5">
      <w:isLgl w:val="false"/>
      <w:lvlJc w:val="left"/>
      <w:lvlText w:val="%1.%2.%3.%4.%5.%6."/>
      <w:numFmt w:val="decimal"/>
      <w:pPr>
        <w:pBdr/>
        <w:spacing/>
        <w:ind w:hanging="1080" w:left="2880"/>
      </w:pPr>
      <w:rPr/>
      <w:start w:val="1"/>
      <w:suff w:val="tab"/>
    </w:lvl>
    <w:lvl w:ilvl="6">
      <w:isLgl w:val="false"/>
      <w:lvlJc w:val="left"/>
      <w:lvlText w:val="%1.%2.%3.%4.%5.%6.%7."/>
      <w:numFmt w:val="decimal"/>
      <w:pPr>
        <w:pBdr/>
        <w:spacing/>
        <w:ind w:hanging="1440" w:left="3600"/>
      </w:pPr>
      <w:rPr/>
      <w:start w:val="1"/>
      <w:suff w:val="tab"/>
    </w:lvl>
    <w:lvl w:ilvl="7">
      <w:isLgl w:val="false"/>
      <w:lvlJc w:val="left"/>
      <w:lvlText w:val="%1.%2.%3.%4.%5.%6.%7.%8."/>
      <w:numFmt w:val="decimal"/>
      <w:pPr>
        <w:pBdr/>
        <w:spacing/>
        <w:ind w:hanging="1440" w:left="3960"/>
      </w:pPr>
      <w:rPr/>
      <w:start w:val="1"/>
      <w:suff w:val="tab"/>
    </w:lvl>
    <w:lvl w:ilvl="8">
      <w:isLgl w:val="false"/>
      <w:lvlJc w:val="left"/>
      <w:lvlText w:val="%1.%2.%3.%4.%5.%6.%7.%8.%9."/>
      <w:numFmt w:val="decimal"/>
      <w:pPr>
        <w:pBdr/>
        <w:spacing/>
        <w:ind w:hanging="1800" w:left="4680"/>
      </w:pPr>
      <w:rPr/>
      <w:start w:val="1"/>
      <w:suff w:val="tab"/>
    </w:lvl>
  </w:abstractNum>
  <w:abstractNum w:abstractNumId="58">
    <w:nsid w:val="699F1938"/>
    <w:lvl w:ilvl="0">
      <w:isLgl w:val="false"/>
      <w:lvlJc w:val="left"/>
      <w:lvlText w:val="-"/>
      <w:numFmt w:val="bullet"/>
      <w:pPr>
        <w:pBdr/>
        <w:spacing/>
        <w:ind w:hanging="360" w:left="927"/>
      </w:pPr>
      <w:rPr>
        <w:rFonts w:hint="default" w:ascii="Symbol" w:hAnsi="Symbol" w:eastAsia="Symbol" w:cs="Symbol"/>
      </w:rPr>
      <w:start w:val="1"/>
      <w:suff w:val="tab"/>
    </w:lvl>
    <w:lvl w:ilvl="1">
      <w:isLgl w:val="false"/>
      <w:lvlJc w:val="left"/>
      <w:lvlText w:val="o"/>
      <w:numFmt w:val="bullet"/>
      <w:pPr>
        <w:pBdr/>
        <w:spacing/>
        <w:ind w:hanging="360" w:left="1647"/>
      </w:pPr>
      <w:rPr>
        <w:rFonts w:hint="default" w:ascii="Courier New" w:hAnsi="Courier New" w:eastAsia="Courier New" w:cs="Courier New"/>
      </w:rPr>
      <w:start w:val="1"/>
      <w:suff w:val="tab"/>
    </w:lvl>
    <w:lvl w:ilvl="2">
      <w:isLgl w:val="false"/>
      <w:lvlJc w:val="left"/>
      <w:lvlText w:val=""/>
      <w:numFmt w:val="bullet"/>
      <w:pPr>
        <w:pBdr/>
        <w:spacing/>
        <w:ind w:hanging="360" w:left="2367"/>
      </w:pPr>
      <w:rPr>
        <w:rFonts w:hint="default" w:ascii="Wingdings" w:hAnsi="Wingdings" w:eastAsia="Wingdings" w:cs="Wingdings"/>
      </w:rPr>
      <w:start w:val="1"/>
      <w:suff w:val="tab"/>
    </w:lvl>
    <w:lvl w:ilvl="3">
      <w:isLgl w:val="false"/>
      <w:lvlJc w:val="left"/>
      <w:lvlText w:val=""/>
      <w:numFmt w:val="bullet"/>
      <w:pPr>
        <w:pBdr/>
        <w:spacing/>
        <w:ind w:hanging="360" w:left="3087"/>
      </w:pPr>
      <w:rPr>
        <w:rFonts w:hint="default" w:ascii="Symbol" w:hAnsi="Symbol" w:eastAsia="Symbol" w:cs="Symbol"/>
      </w:rPr>
      <w:start w:val="1"/>
      <w:suff w:val="tab"/>
    </w:lvl>
    <w:lvl w:ilvl="4">
      <w:isLgl w:val="false"/>
      <w:lvlJc w:val="left"/>
      <w:lvlText w:val="o"/>
      <w:numFmt w:val="bullet"/>
      <w:pPr>
        <w:pBdr/>
        <w:spacing/>
        <w:ind w:hanging="360" w:left="3807"/>
      </w:pPr>
      <w:rPr>
        <w:rFonts w:hint="default" w:ascii="Courier New" w:hAnsi="Courier New" w:eastAsia="Courier New" w:cs="Courier New"/>
      </w:rPr>
      <w:start w:val="1"/>
      <w:suff w:val="tab"/>
    </w:lvl>
    <w:lvl w:ilvl="5">
      <w:isLgl w:val="false"/>
      <w:lvlJc w:val="left"/>
      <w:lvlText w:val=""/>
      <w:numFmt w:val="bullet"/>
      <w:pPr>
        <w:pBdr/>
        <w:spacing/>
        <w:ind w:hanging="360" w:left="4527"/>
      </w:pPr>
      <w:rPr>
        <w:rFonts w:hint="default" w:ascii="Wingdings" w:hAnsi="Wingdings" w:eastAsia="Wingdings" w:cs="Wingdings"/>
      </w:rPr>
      <w:start w:val="1"/>
      <w:suff w:val="tab"/>
    </w:lvl>
    <w:lvl w:ilvl="6">
      <w:isLgl w:val="false"/>
      <w:lvlJc w:val="left"/>
      <w:lvlText w:val=""/>
      <w:numFmt w:val="bullet"/>
      <w:pPr>
        <w:pBdr/>
        <w:spacing/>
        <w:ind w:hanging="360" w:left="5247"/>
      </w:pPr>
      <w:rPr>
        <w:rFonts w:hint="default" w:ascii="Symbol" w:hAnsi="Symbol" w:eastAsia="Symbol" w:cs="Symbol"/>
      </w:rPr>
      <w:start w:val="1"/>
      <w:suff w:val="tab"/>
    </w:lvl>
    <w:lvl w:ilvl="7">
      <w:isLgl w:val="false"/>
      <w:lvlJc w:val="left"/>
      <w:lvlText w:val="o"/>
      <w:numFmt w:val="bullet"/>
      <w:pPr>
        <w:pBdr/>
        <w:spacing/>
        <w:ind w:hanging="360" w:left="5967"/>
      </w:pPr>
      <w:rPr>
        <w:rFonts w:hint="default" w:ascii="Courier New" w:hAnsi="Courier New" w:eastAsia="Courier New" w:cs="Courier New"/>
      </w:rPr>
      <w:start w:val="1"/>
      <w:suff w:val="tab"/>
    </w:lvl>
    <w:lvl w:ilvl="8">
      <w:isLgl w:val="false"/>
      <w:lvlJc w:val="left"/>
      <w:lvlText w:val=""/>
      <w:numFmt w:val="bullet"/>
      <w:pPr>
        <w:pBdr/>
        <w:spacing/>
        <w:ind w:hanging="360" w:left="6687"/>
      </w:pPr>
      <w:rPr>
        <w:rFonts w:hint="default" w:ascii="Wingdings" w:hAnsi="Wingdings" w:eastAsia="Wingdings" w:cs="Wingdings"/>
      </w:rPr>
      <w:start w:val="1"/>
      <w:suff w:val="tab"/>
    </w:lvl>
  </w:abstractNum>
  <w:abstractNum w:abstractNumId="59">
    <w:nsid w:val="387DEA9A"/>
    <w:lvl w:ilvl="0">
      <w:isLgl w:val="false"/>
      <w:lvlJc w:val="left"/>
      <w:lvlText w:val=""/>
      <w:numFmt w:val="bullet"/>
      <w:pPr>
        <w:pBdr/>
        <w:spacing/>
        <w:ind w:hanging="360" w:left="1426"/>
      </w:pPr>
      <w:rPr>
        <w:rFonts w:hint="default" w:ascii="Symbol" w:hAnsi="Symbol" w:eastAsia="Symbol" w:cs="Symbol"/>
      </w:rPr>
      <w:start w:val="1"/>
      <w:suff w:val="tab"/>
    </w:lvl>
    <w:lvl w:ilvl="1">
      <w:isLgl w:val="false"/>
      <w:lvlJc w:val="left"/>
      <w:lvlText w:val="o"/>
      <w:numFmt w:val="bullet"/>
      <w:pPr>
        <w:pBdr/>
        <w:spacing/>
        <w:ind w:hanging="360" w:left="2146"/>
      </w:pPr>
      <w:rPr>
        <w:rFonts w:hint="default" w:ascii="Courier New" w:hAnsi="Courier New" w:eastAsia="Courier New" w:cs="Courier New"/>
      </w:rPr>
      <w:start w:val="1"/>
      <w:suff w:val="tab"/>
    </w:lvl>
    <w:lvl w:ilvl="2">
      <w:isLgl w:val="false"/>
      <w:lvlJc w:val="left"/>
      <w:lvlText w:val=""/>
      <w:numFmt w:val="bullet"/>
      <w:pPr>
        <w:pBdr/>
        <w:spacing/>
        <w:ind w:hanging="360" w:left="2866"/>
      </w:pPr>
      <w:rPr>
        <w:rFonts w:hint="default" w:ascii="Wingdings" w:hAnsi="Wingdings" w:eastAsia="Wingdings" w:cs="Wingdings"/>
      </w:rPr>
      <w:start w:val="1"/>
      <w:suff w:val="tab"/>
    </w:lvl>
    <w:lvl w:ilvl="3">
      <w:isLgl w:val="false"/>
      <w:lvlJc w:val="left"/>
      <w:lvlText w:val=""/>
      <w:numFmt w:val="bullet"/>
      <w:pPr>
        <w:pBdr/>
        <w:spacing/>
        <w:ind w:hanging="360" w:left="3586"/>
      </w:pPr>
      <w:rPr>
        <w:rFonts w:hint="default" w:ascii="Symbol" w:hAnsi="Symbol" w:eastAsia="Symbol" w:cs="Symbol"/>
      </w:rPr>
      <w:start w:val="1"/>
      <w:suff w:val="tab"/>
    </w:lvl>
    <w:lvl w:ilvl="4">
      <w:isLgl w:val="false"/>
      <w:lvlJc w:val="left"/>
      <w:lvlText w:val="o"/>
      <w:numFmt w:val="bullet"/>
      <w:pPr>
        <w:pBdr/>
        <w:spacing/>
        <w:ind w:hanging="360" w:left="4306"/>
      </w:pPr>
      <w:rPr>
        <w:rFonts w:hint="default" w:ascii="Courier New" w:hAnsi="Courier New" w:eastAsia="Courier New" w:cs="Courier New"/>
      </w:rPr>
      <w:start w:val="1"/>
      <w:suff w:val="tab"/>
    </w:lvl>
    <w:lvl w:ilvl="5">
      <w:isLgl w:val="false"/>
      <w:lvlJc w:val="left"/>
      <w:lvlText w:val=""/>
      <w:numFmt w:val="bullet"/>
      <w:pPr>
        <w:pBdr/>
        <w:spacing/>
        <w:ind w:hanging="360" w:left="5026"/>
      </w:pPr>
      <w:rPr>
        <w:rFonts w:hint="default" w:ascii="Wingdings" w:hAnsi="Wingdings" w:eastAsia="Wingdings" w:cs="Wingdings"/>
      </w:rPr>
      <w:start w:val="1"/>
      <w:suff w:val="tab"/>
    </w:lvl>
    <w:lvl w:ilvl="6">
      <w:isLgl w:val="false"/>
      <w:lvlJc w:val="left"/>
      <w:lvlText w:val=""/>
      <w:numFmt w:val="bullet"/>
      <w:pPr>
        <w:pBdr/>
        <w:spacing/>
        <w:ind w:hanging="360" w:left="5746"/>
      </w:pPr>
      <w:rPr>
        <w:rFonts w:hint="default" w:ascii="Symbol" w:hAnsi="Symbol" w:eastAsia="Symbol" w:cs="Symbol"/>
      </w:rPr>
      <w:start w:val="1"/>
      <w:suff w:val="tab"/>
    </w:lvl>
    <w:lvl w:ilvl="7">
      <w:isLgl w:val="false"/>
      <w:lvlJc w:val="left"/>
      <w:lvlText w:val="o"/>
      <w:numFmt w:val="bullet"/>
      <w:pPr>
        <w:pBdr/>
        <w:spacing/>
        <w:ind w:hanging="360" w:left="6466"/>
      </w:pPr>
      <w:rPr>
        <w:rFonts w:hint="default" w:ascii="Courier New" w:hAnsi="Courier New" w:eastAsia="Courier New" w:cs="Courier New"/>
      </w:rPr>
      <w:start w:val="1"/>
      <w:suff w:val="tab"/>
    </w:lvl>
    <w:lvl w:ilvl="8">
      <w:isLgl w:val="false"/>
      <w:lvlJc w:val="left"/>
      <w:lvlText w:val=""/>
      <w:numFmt w:val="bullet"/>
      <w:pPr>
        <w:pBdr/>
        <w:spacing/>
        <w:ind w:hanging="360" w:left="7186"/>
      </w:pPr>
      <w:rPr>
        <w:rFonts w:hint="default" w:ascii="Wingdings" w:hAnsi="Wingdings" w:eastAsia="Wingdings" w:cs="Wingdings"/>
      </w:rPr>
      <w:start w:val="1"/>
      <w:suff w:val="tab"/>
    </w:lvl>
  </w:abstractNum>
  <w:abstractNum w:abstractNumId="60">
    <w:nsid w:val="22D80F0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42">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43">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44">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45">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46">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47">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1"/>
    <w:basedOn w:val="1021"/>
    <w:next w:val="1021"/>
    <w:link w:val="97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69">
    <w:name w:val="Heading 2"/>
    <w:basedOn w:val="1021"/>
    <w:next w:val="1021"/>
    <w:link w:val="97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70">
    <w:name w:val="Heading 3"/>
    <w:basedOn w:val="1021"/>
    <w:next w:val="1021"/>
    <w:link w:val="97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71">
    <w:name w:val="Heading 4"/>
    <w:basedOn w:val="1021"/>
    <w:next w:val="1021"/>
    <w:link w:val="98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72">
    <w:name w:val="Heading 5"/>
    <w:basedOn w:val="1021"/>
    <w:next w:val="1021"/>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21"/>
    <w:next w:val="1021"/>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21"/>
    <w:next w:val="1021"/>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21"/>
    <w:next w:val="1021"/>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21"/>
    <w:next w:val="1021"/>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1 Char"/>
    <w:basedOn w:val="1022"/>
    <w:link w:val="968"/>
    <w:uiPriority w:val="9"/>
    <w:pPr>
      <w:pBdr/>
      <w:spacing/>
      <w:ind/>
    </w:pPr>
    <w:rPr>
      <w:rFonts w:ascii="Arial" w:hAnsi="Arial" w:eastAsia="Arial" w:cs="Arial"/>
      <w:color w:val="0f4761" w:themeColor="accent1" w:themeShade="BF"/>
      <w:sz w:val="40"/>
      <w:szCs w:val="40"/>
    </w:rPr>
  </w:style>
  <w:style w:type="character" w:styleId="978">
    <w:name w:val="Heading 2 Char"/>
    <w:basedOn w:val="1022"/>
    <w:link w:val="969"/>
    <w:uiPriority w:val="9"/>
    <w:pPr>
      <w:pBdr/>
      <w:spacing/>
      <w:ind/>
    </w:pPr>
    <w:rPr>
      <w:rFonts w:ascii="Arial" w:hAnsi="Arial" w:eastAsia="Arial" w:cs="Arial"/>
      <w:color w:val="0f4761" w:themeColor="accent1" w:themeShade="BF"/>
      <w:sz w:val="32"/>
      <w:szCs w:val="32"/>
    </w:rPr>
  </w:style>
  <w:style w:type="character" w:styleId="979">
    <w:name w:val="Heading 3 Char"/>
    <w:basedOn w:val="1022"/>
    <w:link w:val="970"/>
    <w:uiPriority w:val="9"/>
    <w:pPr>
      <w:pBdr/>
      <w:spacing/>
      <w:ind/>
    </w:pPr>
    <w:rPr>
      <w:rFonts w:ascii="Arial" w:hAnsi="Arial" w:eastAsia="Arial" w:cs="Arial"/>
      <w:color w:val="0f4761" w:themeColor="accent1" w:themeShade="BF"/>
      <w:sz w:val="28"/>
      <w:szCs w:val="28"/>
    </w:rPr>
  </w:style>
  <w:style w:type="character" w:styleId="980">
    <w:name w:val="Heading 4 Char"/>
    <w:basedOn w:val="1022"/>
    <w:link w:val="971"/>
    <w:uiPriority w:val="9"/>
    <w:pPr>
      <w:pBdr/>
      <w:spacing/>
      <w:ind/>
    </w:pPr>
    <w:rPr>
      <w:rFonts w:ascii="Arial" w:hAnsi="Arial" w:eastAsia="Arial" w:cs="Arial"/>
      <w:i/>
      <w:iCs/>
      <w:color w:val="0f4761" w:themeColor="accent1" w:themeShade="BF"/>
    </w:rPr>
  </w:style>
  <w:style w:type="character" w:styleId="981">
    <w:name w:val="Heading 5 Char"/>
    <w:basedOn w:val="1022"/>
    <w:link w:val="972"/>
    <w:uiPriority w:val="9"/>
    <w:pPr>
      <w:pBdr/>
      <w:spacing/>
      <w:ind/>
    </w:pPr>
    <w:rPr>
      <w:rFonts w:ascii="Arial" w:hAnsi="Arial" w:eastAsia="Arial" w:cs="Arial"/>
      <w:color w:val="0f4761" w:themeColor="accent1" w:themeShade="BF"/>
    </w:rPr>
  </w:style>
  <w:style w:type="character" w:styleId="982">
    <w:name w:val="Heading 6 Char"/>
    <w:basedOn w:val="1022"/>
    <w:link w:val="973"/>
    <w:uiPriority w:val="9"/>
    <w:pPr>
      <w:pBdr/>
      <w:spacing/>
      <w:ind/>
    </w:pPr>
    <w:rPr>
      <w:rFonts w:ascii="Arial" w:hAnsi="Arial" w:eastAsia="Arial" w:cs="Arial"/>
      <w:i/>
      <w:iCs/>
      <w:color w:val="595959" w:themeColor="text1" w:themeTint="A6"/>
    </w:rPr>
  </w:style>
  <w:style w:type="character" w:styleId="983">
    <w:name w:val="Heading 7 Char"/>
    <w:basedOn w:val="1022"/>
    <w:link w:val="974"/>
    <w:uiPriority w:val="9"/>
    <w:pPr>
      <w:pBdr/>
      <w:spacing/>
      <w:ind/>
    </w:pPr>
    <w:rPr>
      <w:rFonts w:ascii="Arial" w:hAnsi="Arial" w:eastAsia="Arial" w:cs="Arial"/>
      <w:color w:val="595959" w:themeColor="text1" w:themeTint="A6"/>
    </w:rPr>
  </w:style>
  <w:style w:type="character" w:styleId="984">
    <w:name w:val="Heading 8 Char"/>
    <w:basedOn w:val="1022"/>
    <w:link w:val="975"/>
    <w:uiPriority w:val="9"/>
    <w:pPr>
      <w:pBdr/>
      <w:spacing/>
      <w:ind/>
    </w:pPr>
    <w:rPr>
      <w:rFonts w:ascii="Arial" w:hAnsi="Arial" w:eastAsia="Arial" w:cs="Arial"/>
      <w:i/>
      <w:iCs/>
      <w:color w:val="272727" w:themeColor="text1" w:themeTint="D8"/>
    </w:rPr>
  </w:style>
  <w:style w:type="character" w:styleId="985">
    <w:name w:val="Heading 9 Char"/>
    <w:basedOn w:val="1022"/>
    <w:link w:val="976"/>
    <w:uiPriority w:val="9"/>
    <w:pPr>
      <w:pBdr/>
      <w:spacing/>
      <w:ind/>
    </w:pPr>
    <w:rPr>
      <w:rFonts w:ascii="Arial" w:hAnsi="Arial" w:eastAsia="Arial" w:cs="Arial"/>
      <w:i/>
      <w:iCs/>
      <w:color w:val="272727" w:themeColor="text1" w:themeTint="D8"/>
    </w:rPr>
  </w:style>
  <w:style w:type="paragraph" w:styleId="986">
    <w:name w:val="Title"/>
    <w:basedOn w:val="1021"/>
    <w:next w:val="1021"/>
    <w:link w:val="987"/>
    <w:uiPriority w:val="10"/>
    <w:qFormat/>
    <w:pPr>
      <w:pBdr/>
      <w:spacing w:after="80" w:line="240" w:lineRule="auto"/>
      <w:ind/>
      <w:contextualSpacing w:val="true"/>
    </w:pPr>
    <w:rPr>
      <w:rFonts w:ascii="Arial" w:hAnsi="Arial" w:eastAsia="Arial" w:cs="Arial"/>
      <w:spacing w:val="-10"/>
      <w:sz w:val="56"/>
      <w:szCs w:val="56"/>
    </w:rPr>
  </w:style>
  <w:style w:type="character" w:styleId="987">
    <w:name w:val="Title Char"/>
    <w:basedOn w:val="1022"/>
    <w:link w:val="986"/>
    <w:uiPriority w:val="10"/>
    <w:pPr>
      <w:pBdr/>
      <w:spacing/>
      <w:ind/>
    </w:pPr>
    <w:rPr>
      <w:rFonts w:ascii="Arial" w:hAnsi="Arial" w:eastAsia="Arial" w:cs="Arial"/>
      <w:spacing w:val="-10"/>
      <w:sz w:val="56"/>
      <w:szCs w:val="56"/>
    </w:rPr>
  </w:style>
  <w:style w:type="paragraph" w:styleId="988">
    <w:name w:val="Subtitle"/>
    <w:basedOn w:val="1021"/>
    <w:next w:val="1021"/>
    <w:link w:val="989"/>
    <w:uiPriority w:val="11"/>
    <w:qFormat/>
    <w:pPr>
      <w:numPr>
        <w:ilvl w:val="1"/>
      </w:numPr>
      <w:pBdr/>
      <w:spacing/>
      <w:ind/>
    </w:pPr>
    <w:rPr>
      <w:color w:val="595959" w:themeColor="text1" w:themeTint="A6"/>
      <w:spacing w:val="15"/>
      <w:sz w:val="28"/>
      <w:szCs w:val="28"/>
    </w:rPr>
  </w:style>
  <w:style w:type="character" w:styleId="989">
    <w:name w:val="Subtitle Char"/>
    <w:basedOn w:val="1022"/>
    <w:link w:val="988"/>
    <w:uiPriority w:val="11"/>
    <w:pPr>
      <w:pBdr/>
      <w:spacing/>
      <w:ind/>
    </w:pPr>
    <w:rPr>
      <w:color w:val="595959" w:themeColor="text1" w:themeTint="A6"/>
      <w:spacing w:val="15"/>
      <w:sz w:val="28"/>
      <w:szCs w:val="28"/>
    </w:rPr>
  </w:style>
  <w:style w:type="paragraph" w:styleId="990">
    <w:name w:val="Quote"/>
    <w:basedOn w:val="1021"/>
    <w:next w:val="1021"/>
    <w:link w:val="991"/>
    <w:uiPriority w:val="29"/>
    <w:qFormat/>
    <w:pPr>
      <w:pBdr/>
      <w:spacing w:before="160"/>
      <w:ind/>
      <w:jc w:val="center"/>
    </w:pPr>
    <w:rPr>
      <w:i/>
      <w:iCs/>
      <w:color w:val="404040" w:themeColor="text1" w:themeTint="BF"/>
    </w:rPr>
  </w:style>
  <w:style w:type="character" w:styleId="991">
    <w:name w:val="Quote Char"/>
    <w:basedOn w:val="1022"/>
    <w:link w:val="990"/>
    <w:uiPriority w:val="29"/>
    <w:pPr>
      <w:pBdr/>
      <w:spacing/>
      <w:ind/>
    </w:pPr>
    <w:rPr>
      <w:i/>
      <w:iCs/>
      <w:color w:val="404040" w:themeColor="text1" w:themeTint="BF"/>
    </w:rPr>
  </w:style>
  <w:style w:type="character" w:styleId="992">
    <w:name w:val="Intense Emphasis"/>
    <w:basedOn w:val="1022"/>
    <w:uiPriority w:val="21"/>
    <w:qFormat/>
    <w:pPr>
      <w:pBdr/>
      <w:spacing/>
      <w:ind/>
    </w:pPr>
    <w:rPr>
      <w:i/>
      <w:iCs/>
      <w:color w:val="0f4761" w:themeColor="accent1" w:themeShade="BF"/>
    </w:rPr>
  </w:style>
  <w:style w:type="paragraph" w:styleId="993">
    <w:name w:val="Intense Quote"/>
    <w:basedOn w:val="1021"/>
    <w:next w:val="1021"/>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2"/>
    <w:link w:val="993"/>
    <w:uiPriority w:val="30"/>
    <w:pPr>
      <w:pBdr/>
      <w:spacing/>
      <w:ind/>
    </w:pPr>
    <w:rPr>
      <w:i/>
      <w:iCs/>
      <w:color w:val="0f4761" w:themeColor="accent1" w:themeShade="BF"/>
    </w:rPr>
  </w:style>
  <w:style w:type="character" w:styleId="995">
    <w:name w:val="Intense Reference"/>
    <w:basedOn w:val="1022"/>
    <w:uiPriority w:val="32"/>
    <w:qFormat/>
    <w:pPr>
      <w:pBdr/>
      <w:spacing/>
      <w:ind/>
    </w:pPr>
    <w:rPr>
      <w:b/>
      <w:bCs/>
      <w:smallCaps/>
      <w:color w:val="0f4761" w:themeColor="accent1" w:themeShade="BF"/>
      <w:spacing w:val="5"/>
    </w:rPr>
  </w:style>
  <w:style w:type="paragraph" w:styleId="996">
    <w:name w:val="No Spacing"/>
    <w:basedOn w:val="1021"/>
    <w:uiPriority w:val="1"/>
    <w:qFormat/>
    <w:pPr>
      <w:pBdr/>
      <w:spacing w:after="0" w:line="240" w:lineRule="auto"/>
      <w:ind/>
    </w:pPr>
  </w:style>
  <w:style w:type="character" w:styleId="997">
    <w:name w:val="Subtle Emphasis"/>
    <w:basedOn w:val="1022"/>
    <w:uiPriority w:val="19"/>
    <w:qFormat/>
    <w:pPr>
      <w:pBdr/>
      <w:spacing/>
      <w:ind/>
    </w:pPr>
    <w:rPr>
      <w:i/>
      <w:iCs/>
      <w:color w:val="404040" w:themeColor="text1" w:themeTint="BF"/>
    </w:rPr>
  </w:style>
  <w:style w:type="character" w:styleId="998">
    <w:name w:val="Emphasis"/>
    <w:basedOn w:val="1022"/>
    <w:uiPriority w:val="20"/>
    <w:qFormat/>
    <w:pPr>
      <w:pBdr/>
      <w:spacing/>
      <w:ind/>
    </w:pPr>
    <w:rPr>
      <w:i/>
      <w:iCs/>
    </w:rPr>
  </w:style>
  <w:style w:type="character" w:styleId="999">
    <w:name w:val="Strong"/>
    <w:basedOn w:val="1022"/>
    <w:uiPriority w:val="22"/>
    <w:qFormat/>
    <w:pPr>
      <w:pBdr/>
      <w:spacing/>
      <w:ind/>
    </w:pPr>
    <w:rPr>
      <w:b/>
      <w:bCs/>
    </w:rPr>
  </w:style>
  <w:style w:type="character" w:styleId="1000">
    <w:name w:val="Subtle Reference"/>
    <w:basedOn w:val="1022"/>
    <w:uiPriority w:val="31"/>
    <w:qFormat/>
    <w:pPr>
      <w:pBdr/>
      <w:spacing/>
      <w:ind/>
    </w:pPr>
    <w:rPr>
      <w:smallCaps/>
      <w:color w:val="5a5a5a" w:themeColor="text1" w:themeTint="A5"/>
    </w:rPr>
  </w:style>
  <w:style w:type="character" w:styleId="1001">
    <w:name w:val="Book Title"/>
    <w:basedOn w:val="1022"/>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2"/>
    <w:link w:val="1003"/>
    <w:uiPriority w:val="99"/>
    <w:semiHidden/>
    <w:pPr>
      <w:pBdr/>
      <w:spacing/>
      <w:ind/>
    </w:pPr>
    <w:rPr>
      <w:sz w:val="20"/>
      <w:szCs w:val="20"/>
    </w:rPr>
  </w:style>
  <w:style w:type="character" w:styleId="1005">
    <w:name w:val="footnote reference"/>
    <w:basedOn w:val="1022"/>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2"/>
    <w:link w:val="1006"/>
    <w:uiPriority w:val="99"/>
    <w:semiHidden/>
    <w:pPr>
      <w:pBdr/>
      <w:spacing/>
      <w:ind/>
    </w:pPr>
    <w:rPr>
      <w:sz w:val="20"/>
      <w:szCs w:val="20"/>
    </w:rPr>
  </w:style>
  <w:style w:type="character" w:styleId="1008">
    <w:name w:val="endnote reference"/>
    <w:basedOn w:val="1022"/>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2"/>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ind/>
    </w:pPr>
    <w:rPr>
      <w:sz w:val="24"/>
      <w:szCs w:val="24"/>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paragraph" w:styleId="1025">
    <w:name w:val="Footer"/>
    <w:basedOn w:val="1021"/>
    <w:link w:val="1026"/>
    <w:uiPriority w:val="99"/>
    <w:pPr>
      <w:pBdr/>
      <w:tabs>
        <w:tab w:val="center" w:leader="none" w:pos="4320"/>
        <w:tab w:val="right" w:leader="none" w:pos="8640"/>
      </w:tabs>
      <w:spacing/>
      <w:ind/>
    </w:pPr>
    <w:rPr>
      <w:rFonts w:ascii=".VnTime" w:hAnsi=".VnTime"/>
      <w:sz w:val="28"/>
      <w:szCs w:val="28"/>
    </w:rPr>
  </w:style>
  <w:style w:type="character" w:styleId="1026" w:customStyle="1">
    <w:name w:val="Footer Char"/>
    <w:link w:val="1025"/>
    <w:uiPriority w:val="99"/>
    <w:pPr>
      <w:pBdr/>
      <w:spacing/>
      <w:ind/>
    </w:pPr>
    <w:rPr>
      <w:rFonts w:ascii=".VnTime" w:hAnsi=".VnTime"/>
      <w:sz w:val="28"/>
      <w:szCs w:val="28"/>
      <w:lang w:val="en-US" w:eastAsia="en-US" w:bidi="ar-SA"/>
    </w:rPr>
  </w:style>
  <w:style w:type="character" w:styleId="1027">
    <w:name w:val="page number"/>
    <w:basedOn w:val="1022"/>
    <w:pPr>
      <w:pBdr/>
      <w:spacing/>
      <w:ind/>
    </w:pPr>
  </w:style>
  <w:style w:type="paragraph" w:styleId="1028" w:customStyle="1">
    <w:name w:val="Char"/>
    <w:basedOn w:val="1029"/>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1029">
    <w:name w:val="Document Map"/>
    <w:basedOn w:val="1021"/>
    <w:semiHidden/>
    <w:pPr>
      <w:pBdr/>
      <w:shd w:val="clear" w:color="auto" w:fill="000080"/>
      <w:spacing/>
      <w:ind/>
    </w:pPr>
    <w:rPr>
      <w:rFonts w:ascii="Tahoma" w:hAnsi="Tahoma" w:cs="Tahoma"/>
      <w:sz w:val="20"/>
      <w:szCs w:val="20"/>
    </w:rPr>
  </w:style>
  <w:style w:type="paragraph" w:styleId="1030">
    <w:name w:val="Header"/>
    <w:basedOn w:val="1021"/>
    <w:link w:val="1040"/>
    <w:uiPriority w:val="99"/>
    <w:pPr>
      <w:pBdr/>
      <w:tabs>
        <w:tab w:val="center" w:leader="none" w:pos="4320"/>
        <w:tab w:val="right" w:leader="none" w:pos="8640"/>
      </w:tabs>
      <w:spacing/>
      <w:ind/>
    </w:pPr>
  </w:style>
  <w:style w:type="character" w:styleId="1031">
    <w:name w:val="Hyperlink"/>
    <w:uiPriority w:val="99"/>
    <w:pPr>
      <w:pBdr/>
      <w:spacing/>
      <w:ind/>
    </w:pPr>
    <w:rPr>
      <w:color w:val="0000ff"/>
      <w:u w:val="single"/>
    </w:rPr>
  </w:style>
  <w:style w:type="paragraph" w:styleId="1032" w:customStyle="1">
    <w:name w:val="Char Char Char Char Char Char"/>
    <w:basedOn w:val="1021"/>
    <w:pPr>
      <w:pBdr/>
      <w:spacing w:after="160" w:line="240" w:lineRule="exact"/>
      <w:ind/>
    </w:pPr>
    <w:rPr>
      <w:rFonts w:ascii="Tahoma" w:hAnsi="Tahoma" w:eastAsia="PMingLiU"/>
      <w:sz w:val="20"/>
      <w:szCs w:val="20"/>
    </w:rPr>
  </w:style>
  <w:style w:type="table" w:styleId="1033">
    <w:name w:val="Table Grid"/>
    <w:basedOn w:val="1023"/>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name w:val="Body Text 2"/>
    <w:basedOn w:val="1021"/>
    <w:link w:val="1035"/>
    <w:pPr>
      <w:pBdr/>
      <w:spacing w:after="120" w:line="480" w:lineRule="auto"/>
      <w:ind/>
    </w:pPr>
    <w:rPr>
      <w:rFonts w:ascii=".VnTime" w:hAnsi=".VnTime"/>
      <w:sz w:val="28"/>
    </w:rPr>
  </w:style>
  <w:style w:type="character" w:styleId="1035" w:customStyle="1">
    <w:name w:val="Body Text 2 Char"/>
    <w:link w:val="1034"/>
    <w:pPr>
      <w:pBdr/>
      <w:spacing/>
      <w:ind/>
    </w:pPr>
    <w:rPr>
      <w:rFonts w:ascii=".VnTime" w:hAnsi=".VnTime"/>
      <w:sz w:val="28"/>
      <w:szCs w:val="24"/>
    </w:rPr>
  </w:style>
  <w:style w:type="paragraph" w:styleId="1036">
    <w:name w:val="Balloon Text"/>
    <w:basedOn w:val="1021"/>
    <w:link w:val="1037"/>
    <w:pPr>
      <w:pBdr/>
      <w:spacing/>
      <w:ind/>
    </w:pPr>
    <w:rPr>
      <w:rFonts w:ascii="Tahoma" w:hAnsi="Tahoma"/>
      <w:sz w:val="16"/>
      <w:szCs w:val="16"/>
    </w:rPr>
  </w:style>
  <w:style w:type="character" w:styleId="1037" w:customStyle="1">
    <w:name w:val="Balloon Text Char"/>
    <w:link w:val="1036"/>
    <w:pPr>
      <w:pBdr/>
      <w:spacing/>
      <w:ind/>
    </w:pPr>
    <w:rPr>
      <w:rFonts w:ascii="Tahoma" w:hAnsi="Tahoma" w:cs="Tahoma"/>
      <w:sz w:val="16"/>
      <w:szCs w:val="16"/>
    </w:rPr>
  </w:style>
  <w:style w:type="paragraph" w:styleId="1038">
    <w:name w:val="List Paragraph"/>
    <w:basedOn w:val="1021"/>
    <w:uiPriority w:val="34"/>
    <w:qFormat/>
    <w:pPr>
      <w:pBdr/>
      <w:spacing/>
      <w:ind w:left="720"/>
      <w:contextualSpacing w:val="true"/>
    </w:pPr>
  </w:style>
  <w:style w:type="character" w:styleId="1039">
    <w:name w:val="FollowedHyperlink"/>
    <w:uiPriority w:val="99"/>
    <w:unhideWhenUsed/>
    <w:pPr>
      <w:pBdr/>
      <w:spacing/>
      <w:ind/>
    </w:pPr>
    <w:rPr>
      <w:color w:val="954f72"/>
      <w:u w:val="single"/>
    </w:rPr>
  </w:style>
  <w:style w:type="character" w:styleId="1040" w:customStyle="1">
    <w:name w:val="Header Char"/>
    <w:link w:val="1030"/>
    <w:uiPriority w:val="99"/>
    <w:pPr>
      <w:pBdr/>
      <w:spacing/>
      <w:ind/>
    </w:pPr>
    <w:rPr>
      <w:sz w:val="24"/>
      <w:szCs w:val="24"/>
    </w:rPr>
  </w:style>
  <w:style w:type="paragraph" w:styleId="1041" w:customStyle="1">
    <w:name w:val="xl105"/>
    <w:basedOn w:val="1021"/>
    <w:pPr>
      <w:pBdr/>
      <w:shd w:val="clear" w:color="000000" w:fill="ffffff"/>
      <w:spacing w:after="100" w:afterAutospacing="1" w:before="100" w:beforeAutospacing="1"/>
      <w:ind/>
    </w:pPr>
  </w:style>
  <w:style w:type="paragraph" w:styleId="1042" w:customStyle="1">
    <w:name w:val="xl106"/>
    <w:basedOn w:val="102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43" w:customStyle="1">
    <w:name w:val="xl107"/>
    <w:basedOn w:val="102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44" w:customStyle="1">
    <w:name w:val="xl10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5" w:customStyle="1">
    <w:name w:val="xl10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6" w:customStyle="1">
    <w:name w:val="xl110"/>
    <w:basedOn w:val="1021"/>
    <w:pPr>
      <w:pBdr/>
      <w:shd w:val="clear" w:color="000000" w:fill="ffffff"/>
      <w:spacing w:after="100" w:afterAutospacing="1" w:before="100" w:beforeAutospacing="1"/>
      <w:ind/>
    </w:pPr>
    <w:rPr>
      <w:b/>
      <w:bCs/>
    </w:rPr>
  </w:style>
  <w:style w:type="paragraph" w:styleId="1047" w:customStyle="1">
    <w:name w:val="xl11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11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9" w:customStyle="1">
    <w:name w:val="xl11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0" w:customStyle="1">
    <w:name w:val="xl11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11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2" w:customStyle="1">
    <w:name w:val="xl11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3" w:customStyle="1">
    <w:name w:val="xl11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4" w:customStyle="1">
    <w:name w:val="xl11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11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6" w:customStyle="1">
    <w:name w:val="xl12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12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12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9" w:customStyle="1">
    <w:name w:val="xl12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0" w:customStyle="1">
    <w:name w:val="xl12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125"/>
    <w:basedOn w:val="1021"/>
    <w:pPr>
      <w:pBdr/>
      <w:shd w:val="clear" w:color="000000" w:fill="ffffff"/>
      <w:spacing w:after="100" w:afterAutospacing="1" w:before="100" w:beforeAutospacing="1"/>
      <w:ind/>
    </w:pPr>
  </w:style>
  <w:style w:type="paragraph" w:styleId="1062" w:customStyle="1">
    <w:name w:val="xl12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12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4" w:customStyle="1">
    <w:name w:val="xl12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5" w:customStyle="1">
    <w:name w:val="xl12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6" w:customStyle="1">
    <w:name w:val="xl130"/>
    <w:basedOn w:val="1021"/>
    <w:pPr>
      <w:pBdr/>
      <w:spacing w:after="100" w:afterAutospacing="1" w:before="100" w:beforeAutospacing="1"/>
      <w:ind/>
    </w:pPr>
  </w:style>
  <w:style w:type="paragraph" w:styleId="1067" w:customStyle="1">
    <w:name w:val="xl131"/>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68" w:customStyle="1">
    <w:name w:val="xl132"/>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133"/>
    <w:basedOn w:val="102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70" w:customStyle="1">
    <w:name w:val="xl134"/>
    <w:basedOn w:val="102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71">
    <w:name w:val="Body Text"/>
    <w:basedOn w:val="1021"/>
    <w:link w:val="1072"/>
    <w:pPr>
      <w:pBdr/>
      <w:spacing w:after="120"/>
      <w:ind/>
    </w:pPr>
  </w:style>
  <w:style w:type="character" w:styleId="1072" w:customStyle="1">
    <w:name w:val="Body Text Char"/>
    <w:link w:val="1071"/>
    <w:pPr>
      <w:pBdr/>
      <w:spacing/>
      <w:ind/>
    </w:pPr>
    <w:rPr>
      <w:sz w:val="24"/>
      <w:szCs w:val="24"/>
    </w:rPr>
  </w:style>
  <w:style w:type="character" w:styleId="1073" w:customStyle="1">
    <w:name w:val="normal-h1"/>
    <w:pPr>
      <w:pBdr/>
      <w:spacing/>
      <w:ind/>
    </w:pPr>
    <w:rPr>
      <w:rFonts w:hint="default" w:ascii=".VnTime" w:hAnsi=".VnTime"/>
      <w:color w:val="0000ff"/>
      <w:sz w:val="24"/>
      <w:szCs w:val="24"/>
    </w:rPr>
  </w:style>
  <w:style w:type="paragraph" w:styleId="1074" w:customStyle="1">
    <w:name w:val="Preformatted Text"/>
    <w:basedOn w:val="1021"/>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79</cp:revision>
  <dcterms:created xsi:type="dcterms:W3CDTF">2025-09-08T09:51:00Z</dcterms:created>
  <dcterms:modified xsi:type="dcterms:W3CDTF">2026-09-08T03:15:18Z</dcterms:modified>
</cp:coreProperties>
</file>