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275/2026/1348/VFI-HĐTĐ.44.A</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19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rFonts w:ascii="Times New Roman" w:hAnsi="Times New Roman" w:cs="Times New Roman"/>
                <w:b/>
                <w:color w:val="000000" w:themeColor="text1"/>
                <w:sz w:val="24"/>
                <w:szCs w:val="24"/>
                <w:u w:val="single"/>
              </w:rPr>
            </w:pPr>
            <w:r>
              <w:rPr>
                <w:rFonts w:ascii="Times New Roman" w:hAnsi="Times New Roman" w:eastAsia="Times New Roman" w:cs="Times New Roman"/>
                <w:sz w:val="24"/>
                <w:szCs w:val="24"/>
              </w:rPr>
            </w:r>
            <w:bookmarkStart w:id="0" w:name="_Hlk117252695"/>
            <w:r>
              <w:rPr>
                <w:rFonts w:ascii="Times New Roman" w:hAnsi="Times New Roman" w:eastAsia="Times New Roman" w:cs="Times New Roman"/>
                <w:b/>
                <w:color w:val="000000" w:themeColor="text1"/>
                <w:sz w:val="24"/>
                <w:szCs w:val="24"/>
                <w:u w:val="single"/>
              </w:rPr>
              <w:t xml:space="preserve">BÊN A</w:t>
            </w:r>
            <w:r>
              <w:rPr>
                <w:rFonts w:ascii="Times New Roman" w:hAnsi="Times New Roman" w:eastAsia="Times New Roman" w:cs="Times New Roman"/>
                <w:b/>
                <w:color w:val="000000" w:themeColor="text1"/>
                <w:sz w:val="24"/>
                <w:szCs w:val="24"/>
                <w:u w:val="single"/>
              </w:rPr>
            </w:r>
          </w:p>
        </w:tc>
        <w:tc>
          <w:tcPr>
            <w:tcBorders/>
            <w:tcW w:w="270" w:type="dxa"/>
            <w:vAlign w:val="center"/>
            <w:textDirection w:val="lrTb"/>
            <w:noWrap w:val="false"/>
          </w:tcPr>
          <w:p>
            <w:pPr>
              <w:pBdr/>
              <w:spacing w:after="40" w:before="40" w:line="288" w:lineRule="auto"/>
              <w:ind w:right="-9"/>
              <w:contextualSpacing w:val="true"/>
              <w:jc w:val="center"/>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t xml:space="preserve">:</w:t>
            </w:r>
            <w:r>
              <w:rPr>
                <w:rFonts w:ascii="Times New Roman" w:hAnsi="Times New Roman" w:eastAsia="Times New Roman" w:cs="Times New Roman"/>
                <w:b/>
                <w:color w:val="000000" w:themeColor="text1"/>
                <w:sz w:val="24"/>
                <w:szCs w:val="24"/>
              </w:rPr>
            </w:r>
          </w:p>
        </w:tc>
        <w:tc>
          <w:tcPr>
            <w:tcBorders/>
            <w:tcW w:w="7951" w:type="dxa"/>
            <w:vAlign w:val="center"/>
            <w:textDirection w:val="lrTb"/>
            <w:noWrap w:val="false"/>
          </w:tcPr>
          <w:p>
            <w:pPr>
              <w:keepNext w:val="true"/>
              <w:pBdr/>
              <w:spacing w:after="40" w:before="40" w:line="288" w:lineRule="auto"/>
              <w:ind/>
              <w:contextualSpacing w:val="true"/>
              <w:outlineLvl w:val="0"/>
              <w:rPr>
                <w:rFonts w:ascii="Times New Roman" w:hAnsi="Times New Roman" w:cs="Times New Roman"/>
                <w:b/>
                <w:bCs/>
                <w:color w:val="000000" w:themeColor="text1"/>
                <w:spacing w:val="-8"/>
                <w:sz w:val="24"/>
                <w:szCs w:val="24"/>
              </w:rPr>
            </w:pPr>
            <w:r>
              <w:rPr>
                <w:rFonts w:ascii="Times New Roman" w:hAnsi="Times New Roman" w:eastAsia="Times New Roman" w:cs="Times New Roman"/>
                <w:b/>
                <w:color w:val="000000" w:themeColor="text1"/>
                <w:spacing w:val="-8"/>
                <w:sz w:val="24"/>
                <w:szCs w:val="24"/>
                <w:lang w:val="vi-VN"/>
              </w:rPr>
            </w:r>
            <w:r>
              <w:rPr>
                <w:rFonts w:ascii="Times New Roman" w:hAnsi="Times New Roman" w:eastAsia="Times New Roman" w:cs="Times New Roman"/>
                <w:b/>
                <w:bCs/>
                <w:color w:val="000000" w:themeColor="text1"/>
                <w:spacing w:val="3"/>
                <w:sz w:val="24"/>
                <w:szCs w:val="24"/>
                <w:highlight w:val="white"/>
              </w:rPr>
              <w:t xml:space="preserve">CÔNG TY TNHH HỘI VŨ</w:t>
            </w:r>
            <w:r>
              <w:rPr>
                <w:rFonts w:ascii="Times New Roman" w:hAnsi="Times New Roman" w:eastAsia="Times New Roman" w:cs="Times New Roman"/>
                <w:b/>
                <w:bCs/>
                <w:color w:val="000000" w:themeColor="text1"/>
                <w:spacing w:val="-8"/>
                <w:sz w:val="24"/>
                <w:szCs w:val="24"/>
                <w:lang w:val="vi-VN"/>
              </w:rPr>
            </w:r>
            <w:r>
              <w:rPr>
                <w:rFonts w:ascii="Times New Roman" w:hAnsi="Times New Roman" w:eastAsia="Times New Roman" w:cs="Times New Roman"/>
                <w:b/>
                <w:bCs/>
                <w:color w:val="000000" w:themeColor="text1"/>
                <w:spacing w:val="-8"/>
                <w:sz w:val="24"/>
                <w:szCs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Đia chỉ</w:t>
            </w:r>
            <w:r>
              <w:rPr>
                <w:rFonts w:ascii="Times New Roman" w:hAnsi="Times New Roman" w:eastAsia="Times New Roman" w:cs="Times New Roman"/>
                <w:bCs/>
                <w:color w:val="000000" w:themeColor="text1"/>
                <w:sz w:val="24"/>
                <w:szCs w:val="24"/>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w:t>
            </w:r>
            <w:r>
              <w:rPr>
                <w:rFonts w:ascii="Times New Roman" w:hAnsi="Times New Roman" w:eastAsia="Times New Roman" w:cs="Times New Roman"/>
                <w:bCs/>
                <w:color w:val="000000" w:themeColor="text1"/>
                <w:sz w:val="24"/>
                <w:szCs w:val="24"/>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sz w:val="24"/>
                <w:szCs w:val="24"/>
              </w:rPr>
            </w:pPr>
            <w:r>
              <w:rPr>
                <w:rFonts w:ascii="Times New Roman" w:hAnsi="Times New Roman" w:eastAsia="Times New Roman" w:cs="Times New Roman"/>
                <w:color w:val="000000" w:themeColor="text1"/>
                <w:sz w:val="24"/>
                <w:szCs w:val="24"/>
                <w:lang w:val="vi-VN"/>
              </w:rPr>
            </w:r>
            <w:r>
              <w:rPr>
                <w:rFonts w:ascii="Times New Roman" w:hAnsi="Times New Roman" w:eastAsia="Times New Roman" w:cs="Times New Roman"/>
                <w:color w:val="000000" w:themeColor="text1"/>
                <w:spacing w:val="3"/>
                <w:sz w:val="24"/>
                <w:szCs w:val="24"/>
                <w:highlight w:val="white"/>
              </w:rPr>
              <w:t xml:space="preserve">Cụm Công Nghiệp Cầu Giát, Phường Duy Tân, Tỉnh Ninh Bình</w:t>
            </w:r>
            <w:r>
              <w:rPr>
                <w:rFonts w:ascii="Times New Roman" w:hAnsi="Times New Roman" w:eastAsia="Times New Roman" w:cs="Times New Roman"/>
                <w:color w:val="000000" w:themeColor="text1"/>
                <w:sz w:val="24"/>
                <w:szCs w:val="24"/>
                <w:lang w:val="vi-VN"/>
              </w:rPr>
            </w:r>
            <w:r>
              <w:rPr>
                <w:rFonts w:ascii="Times New Roman" w:hAnsi="Times New Roman" w:eastAsia="Times New Roman" w:cs="Times New Roman"/>
                <w:bCs/>
                <w:color w:val="000000" w:themeColor="text1"/>
                <w:sz w:val="24"/>
                <w:szCs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MST:</w:t>
            </w:r>
            <w:r>
              <w:rPr>
                <w:rFonts w:ascii="Times New Roman" w:hAnsi="Times New Roman" w:eastAsia="Times New Roman" w:cs="Times New Roman"/>
                <w:bCs/>
                <w:color w:val="000000" w:themeColor="text1"/>
                <w:sz w:val="24"/>
                <w:szCs w:val="24"/>
                <w:lang w:val="pt-BR"/>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r>
            <w:r>
              <w:rPr>
                <w:rFonts w:ascii="Times New Roman" w:hAnsi="Times New Roman" w:eastAsia="Times New Roman" w:cs="Times New Roman"/>
                <w:bCs/>
                <w:color w:val="000000" w:themeColor="text1"/>
                <w:sz w:val="24"/>
                <w:szCs w:val="24"/>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color w:val="000000" w:themeColor="text1"/>
                <w:spacing w:val="3"/>
                <w:sz w:val="24"/>
                <w:szCs w:val="24"/>
                <w:highlight w:val="white"/>
              </w:rPr>
              <w:t xml:space="preserve">0100364508</w:t>
            </w: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b/>
                <w:color w:val="000000" w:themeColor="text1"/>
                <w:sz w:val="24"/>
                <w:szCs w:val="24"/>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Đại diện</w:t>
            </w:r>
            <w:r>
              <w:rPr>
                <w:rFonts w:ascii="Times New Roman" w:hAnsi="Times New Roman" w:eastAsia="Times New Roman" w:cs="Times New Roman"/>
                <w:bCs/>
                <w:color w:val="000000" w:themeColor="text1"/>
                <w:sz w:val="24"/>
                <w:szCs w:val="24"/>
                <w:lang w:val="pt-BR"/>
              </w:rPr>
            </w:r>
          </w:p>
        </w:tc>
        <w:tc>
          <w:tcPr>
            <w:tcBorders/>
            <w:tcW w:w="270" w:type="dxa"/>
            <w:vAlign w:val="center"/>
            <w:vMerge w:val="restart"/>
            <w:textDirection w:val="lrTb"/>
            <w:noWrap w:val="false"/>
          </w:tcPr>
          <w:p>
            <w:pPr>
              <w:pBdr/>
              <w:spacing w:after="40" w:before="40" w:line="288" w:lineRule="auto"/>
              <w:ind/>
              <w:contextualSpacing w:val="true"/>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r>
            <w:r>
              <w:rPr>
                <w:rFonts w:ascii="Times New Roman" w:hAnsi="Times New Roman" w:eastAsia="Times New Roman" w:cs="Times New Roman"/>
                <w:bCs/>
                <w:color w:val="000000" w:themeColor="text1"/>
                <w:sz w:val="24"/>
                <w:szCs w:val="24"/>
                <w:lang w:val="pt-BR"/>
              </w:rPr>
            </w:r>
          </w:p>
        </w:tc>
        <w:tc>
          <w:tcPr>
            <w:tcBorders/>
            <w:tcW w:w="7951" w:type="dxa"/>
            <w:vAlign w:val="center"/>
            <w:vMerge w:val="restart"/>
            <w:textDirection w:val="lrTb"/>
            <w:noWrap w:val="false"/>
          </w:tcPr>
          <w:p>
            <w:pPr>
              <w:pBdr/>
              <w:spacing w:after="40" w:before="40" w:line="288" w:lineRule="auto"/>
              <w:ind/>
              <w:contextualSpacing w:val="true"/>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color w:val="000000" w:themeColor="text1"/>
                <w:spacing w:val="3"/>
                <w:sz w:val="24"/>
                <w:szCs w:val="24"/>
                <w:highlight w:val="white"/>
              </w:rPr>
              <w:t xml:space="preserve">Khuất Duy Cường</w:t>
            </w: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b/>
                <w:color w:val="000000" w:themeColor="text1"/>
                <w:sz w:val="24"/>
                <w:szCs w:val="24"/>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Chức vụ</w:t>
            </w:r>
            <w:r>
              <w:rPr>
                <w:rFonts w:ascii="Times New Roman" w:hAnsi="Times New Roman" w:eastAsia="Times New Roman" w:cs="Times New Roman"/>
                <w:bCs/>
                <w:color w:val="000000" w:themeColor="text1"/>
                <w:sz w:val="24"/>
                <w:szCs w:val="24"/>
                <w:lang w:val="pt-BR"/>
              </w:rPr>
            </w:r>
          </w:p>
        </w:tc>
        <w:tc>
          <w:tcPr>
            <w:tcBorders/>
            <w:tcW w:w="270" w:type="dxa"/>
            <w:vAlign w:val="center"/>
            <w:vMerge w:val="restart"/>
            <w:textDirection w:val="lrTb"/>
            <w:noWrap w:val="false"/>
          </w:tcPr>
          <w:p>
            <w:pPr>
              <w:pBdr/>
              <w:spacing w:after="40" w:before="40" w:line="288" w:lineRule="auto"/>
              <w:ind/>
              <w:contextualSpacing w:val="true"/>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r>
            <w:r>
              <w:rPr>
                <w:rFonts w:ascii="Times New Roman" w:hAnsi="Times New Roman" w:eastAsia="Times New Roman" w:cs="Times New Roman"/>
                <w:bCs/>
                <w:color w:val="000000" w:themeColor="text1"/>
                <w:sz w:val="24"/>
                <w:szCs w:val="24"/>
                <w:lang w:val="pt-BR"/>
              </w:rPr>
            </w:r>
          </w:p>
        </w:tc>
        <w:tc>
          <w:tcPr>
            <w:tcBorders/>
            <w:tcW w:w="7951" w:type="dxa"/>
            <w:vAlign w:val="center"/>
            <w:vMerge w:val="restart"/>
            <w:textDirection w:val="lrTb"/>
            <w:noWrap w:val="false"/>
          </w:tcPr>
          <w:p>
            <w:pPr>
              <w:pBdr/>
              <w:spacing w:after="40" w:before="40" w:line="288" w:lineRule="auto"/>
              <w:ind/>
              <w:contextualSpacing w:val="true"/>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color w:val="000000" w:themeColor="text1"/>
                <w:spacing w:val="3"/>
                <w:sz w:val="24"/>
                <w:szCs w:val="24"/>
                <w:highlight w:val="white"/>
              </w:rPr>
              <w:t xml:space="preserve">Giám đốc</w:t>
            </w: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b/>
                <w:color w:val="000000" w:themeColor="text1"/>
                <w:sz w:val="24"/>
                <w:szCs w:val="24"/>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b/>
          <w:bCs/>
          <w:color w:val="000000" w:themeColor="text1"/>
          <w:spacing w:val="-6"/>
        </w:rPr>
      </w:pPr>
      <w:r>
        <w:rPr>
          <w:b/>
          <w:color w:val="000000" w:themeColor="text1"/>
        </w:rPr>
        <w:t xml:space="preserve">Tài sản thẩm định giá</w:t>
      </w:r>
      <w:r>
        <w:rPr>
          <w:b/>
          <w:color w:val="000000" w:themeColor="text1"/>
          <w:spacing w:val="-6"/>
        </w:rPr>
        <w:t xml:space="preserve">:</w:t>
      </w:r>
      <w:r>
        <w:rPr>
          <w:b/>
          <w:bCs/>
          <w:color w:val="000000" w:themeColor="text1"/>
          <w:spacing w:val="-6"/>
        </w:rPr>
      </w:r>
    </w:p>
    <w:p>
      <w:pPr>
        <w:pBdr/>
        <w:spacing w:after="60" w:before="60" w:line="276" w:lineRule="auto"/>
        <w:ind/>
        <w:jc w:val="both"/>
        <w:rPr>
          <w:rFonts w:ascii="Times New Roman" w:hAnsi="Times New Roman" w:cs="Times New Roman"/>
          <w:b w:val="0"/>
          <w:bCs w:val="0"/>
          <w:spacing w:val="2"/>
        </w:rPr>
      </w:pPr>
      <w:r>
        <w:rPr>
          <w:b/>
          <w:color w:val="000000" w:themeColor="text1"/>
          <w:spacing w:val="-6"/>
          <w:highlight w:val="none"/>
        </w:rPr>
        <w:tab/>
      </w:r>
      <w:r>
        <w:rPr>
          <w:b/>
          <w:bCs/>
          <w:color w:val="000000" w:themeColor="text1"/>
          <w:spacing w:val="-6"/>
        </w:rPr>
      </w:r>
      <w:r>
        <w:rPr>
          <w:rFonts w:ascii="Times New Roman" w:hAnsi="Times New Roman" w:eastAsia="Times New Roman" w:cs="Times New Roman"/>
          <w:bCs/>
          <w:color w:val="000000" w:themeColor="text1"/>
          <w:lang w:val="pt-BR"/>
        </w:rPr>
        <w:t xml:space="preserve">Quyền sở hữu căn hộ chung cư số E12A06. Tòa tháp Đông - Indochina Plaza Hà Nội Số 241 </w:t>
        <w:tab/>
        <w:t xml:space="preserve">Xuân Thủy, phường Dịch Vọng Hậu, quận  Cầu Giấy, thành phố Hà Nội (Nay là 241 Xuân Thủy, </w:t>
        <w:tab/>
        <w:t xml:space="preserve">phường Cầu Giấy, thành phố Hà Nội). T</w:t>
      </w:r>
      <w:r>
        <w:rPr>
          <w:rFonts w:ascii="Times New Roman" w:hAnsi="Times New Roman" w:eastAsia="Times New Roman" w:cs="Times New Roman"/>
          <w:bCs/>
          <w:color w:val="000000" w:themeColor="text1"/>
          <w:lang w:val="pt-BR"/>
        </w:rPr>
        <w:t xml:space="preserve">heo Giấy chứng nhận quyền sử dụng đất, quyền sở hữu </w:t>
        <w:tab/>
        <w:t xml:space="preserve">nhà ở và tài sản gắn liền với đất số: CB 545516; Sổ vào sổ cấp GCN: CS19877 do Sở tài nguyên </w:t>
        <w:tab/>
        <w:t xml:space="preserve">và Môi trường thành phố Hà Nội cấp ngày 08/08/2015. Chủ sở hữu căn hộ là ông Khuất Huy </w:t>
        <w:tab/>
        <w:t xml:space="preserve">Hùng và bà Đồng Thị Hằng</w:t>
      </w:r>
      <w:r>
        <w:rPr>
          <w:rFonts w:ascii="Times New Roman" w:hAnsi="Times New Roman" w:eastAsia="Times New Roman" w:cs="Times New Roman"/>
          <w:bCs/>
          <w:color w:val="000000" w:themeColor="text1"/>
          <w:lang w:val="pt-BR"/>
        </w:rPr>
        <w:t xml:space="preserve">.</w:t>
      </w:r>
      <w:r>
        <w:rPr>
          <w:rFonts w:ascii="Times New Roman" w:hAnsi="Times New Roman" w:cs="Times New Roman"/>
          <w:b w:val="0"/>
          <w:bCs w:val="0"/>
          <w:spacing w:val="2"/>
        </w:rPr>
      </w:r>
      <w:r>
        <w:rPr>
          <w:rFonts w:ascii="Times New Roman" w:hAnsi="Times New Roman" w:cs="Times New Roman"/>
          <w:b w:val="0"/>
          <w:bCs w:val="0"/>
          <w:spacing w:val="2"/>
        </w:rPr>
      </w:r>
      <w:r>
        <w:rPr>
          <w:b/>
          <w:color w:val="000000" w:themeColor="text1"/>
          <w:spacing w:val="-6"/>
          <w:highlight w:val="none"/>
        </w:rPr>
      </w:r>
      <w:r>
        <w:rPr>
          <w:b/>
          <w:color w:val="000000" w:themeColor="text1"/>
          <w:spacing w:val="-6"/>
          <w:highlight w:val="none"/>
        </w:rPr>
      </w:r>
      <w:r/>
      <w:r>
        <w:rPr>
          <w:rFonts w:ascii="Times New Roman" w:hAnsi="Times New Roman" w:cs="Times New Roman"/>
          <w:b w:val="0"/>
          <w:bCs w:val="0"/>
          <w:spacing w:val="2"/>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5.555.556</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444.444</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6.000.000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Sáu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left"/>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Khuất Duy Cường</w:t>
            </w:r>
            <w:r>
              <w:rPr>
                <w:b/>
                <w:bCs/>
                <w:color w:val="000000" w:themeColor="text1"/>
              </w:rPr>
            </w:r>
            <w:r>
              <w:rPr>
                <w:b/>
                <w:bCs/>
                <w:color w:val="000000" w:themeColor="text1"/>
              </w:rPr>
            </w:r>
            <w:r>
              <w:rPr>
                <w:b w:val="0"/>
                <w:bCs w:val="0"/>
                <w:color w:val="000000" w:themeColor="text1"/>
              </w:rPr>
            </w:r>
            <w:r>
              <w:rPr>
                <w:b w:val="0"/>
                <w:bCs w:val="0"/>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275/2026/1348/VFI-HĐTĐ.44.A-01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275/2026/1348/VFI-HĐTĐ.44.A </w:t>
      </w:r>
      <w:r>
        <w:rPr>
          <w:color w:val="000000" w:themeColor="text1"/>
        </w:rPr>
        <w:t xml:space="preserve">đã ký </w:t>
      </w:r>
      <w:r>
        <w:rPr>
          <w:color w:val="000000" w:themeColor="text1"/>
        </w:rPr>
        <w:t xml:space="preserve">ngày 19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26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rFonts w:ascii="Times New Roman" w:hAnsi="Times New Roman" w:cs="Times New Roman"/>
                <w:b/>
                <w:color w:val="000000" w:themeColor="text1"/>
                <w:sz w:val="24"/>
                <w:szCs w:val="24"/>
                <w:u w:val="single"/>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b/>
                <w:color w:val="000000" w:themeColor="text1"/>
                <w:sz w:val="24"/>
                <w:szCs w:val="24"/>
                <w:u w:val="single"/>
              </w:rPr>
              <w:t xml:space="preserve">BÊN A</w:t>
            </w:r>
            <w:r>
              <w:rPr>
                <w:rFonts w:ascii="Times New Roman" w:hAnsi="Times New Roman" w:cs="Times New Roman"/>
                <w:b/>
                <w:color w:val="000000" w:themeColor="text1"/>
                <w:sz w:val="24"/>
                <w:szCs w:val="24"/>
                <w:u w:val="single"/>
              </w:rPr>
            </w:r>
            <w:r>
              <w:rPr>
                <w:rFonts w:ascii="Times New Roman" w:hAnsi="Times New Roman" w:cs="Times New Roman"/>
                <w:b/>
                <w:color w:val="000000" w:themeColor="text1"/>
                <w:sz w:val="24"/>
                <w:szCs w:val="24"/>
                <w:u w:val="single"/>
              </w:rPr>
            </w:r>
          </w:p>
        </w:tc>
        <w:tc>
          <w:tcPr>
            <w:tcBorders/>
            <w:tcW w:w="270" w:type="dxa"/>
            <w:vAlign w:val="center"/>
            <w:textDirection w:val="lrTb"/>
            <w:noWrap w:val="false"/>
          </w:tcPr>
          <w:p>
            <w:pPr>
              <w:pBdr/>
              <w:spacing w:after="40" w:before="40" w:line="288" w:lineRule="auto"/>
              <w:ind w:right="-9"/>
              <w:contextualSpacing w:val="true"/>
              <w:jc w:val="center"/>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t xml:space="preserve">:</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tc>
        <w:tc>
          <w:tcPr>
            <w:tcBorders/>
            <w:tcW w:w="7951" w:type="dxa"/>
            <w:vAlign w:val="center"/>
            <w:textDirection w:val="lrTb"/>
            <w:noWrap w:val="false"/>
          </w:tcPr>
          <w:p>
            <w:pPr>
              <w:keepNext w:val="true"/>
              <w:pBdr/>
              <w:spacing w:after="40" w:before="40" w:line="288" w:lineRule="auto"/>
              <w:ind/>
              <w:contextualSpacing w:val="true"/>
              <w:outlineLvl w:val="0"/>
              <w:rPr>
                <w:rFonts w:ascii="Times New Roman" w:hAnsi="Times New Roman" w:cs="Times New Roman"/>
                <w:b/>
                <w:bCs/>
                <w:color w:val="000000" w:themeColor="text1"/>
                <w:spacing w:val="-8"/>
                <w:sz w:val="24"/>
                <w:szCs w:val="24"/>
              </w:rPr>
            </w:pPr>
            <w:r>
              <w:rPr>
                <w:rFonts w:ascii="Times New Roman" w:hAnsi="Times New Roman" w:eastAsia="Times New Roman" w:cs="Times New Roman"/>
                <w:b/>
                <w:color w:val="000000" w:themeColor="text1"/>
                <w:spacing w:val="-8"/>
                <w:sz w:val="24"/>
                <w:szCs w:val="24"/>
                <w:lang w:val="vi-VN"/>
              </w:rPr>
            </w:r>
            <w:r>
              <w:rPr>
                <w:rFonts w:ascii="Times New Roman" w:hAnsi="Times New Roman" w:eastAsia="Times New Roman" w:cs="Times New Roman"/>
                <w:b/>
                <w:bCs/>
                <w:color w:val="000000" w:themeColor="text1"/>
                <w:spacing w:val="3"/>
                <w:sz w:val="24"/>
                <w:szCs w:val="24"/>
                <w:highlight w:val="white"/>
              </w:rPr>
              <w:t xml:space="preserve">CÔNG TY TNHH HỘI VŨ</w:t>
            </w:r>
            <w:r>
              <w:rPr>
                <w:rFonts w:ascii="Times New Roman" w:hAnsi="Times New Roman" w:cs="Times New Roman"/>
                <w:b/>
                <w:bCs/>
                <w:color w:val="000000" w:themeColor="text1"/>
                <w:spacing w:val="-8"/>
                <w:sz w:val="24"/>
                <w:szCs w:val="24"/>
              </w:rPr>
            </w:r>
            <w:r>
              <w:rPr>
                <w:rFonts w:ascii="Times New Roman" w:hAnsi="Times New Roman" w:cs="Times New Roman"/>
                <w:b/>
                <w:bCs/>
                <w:color w:val="000000" w:themeColor="text1"/>
                <w:spacing w:val="-8"/>
                <w:sz w:val="24"/>
                <w:szCs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Đia chỉ</w:t>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w:t>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sz w:val="24"/>
                <w:szCs w:val="24"/>
              </w:rPr>
            </w:pPr>
            <w:r>
              <w:rPr>
                <w:rFonts w:ascii="Times New Roman" w:hAnsi="Times New Roman" w:eastAsia="Times New Roman" w:cs="Times New Roman"/>
                <w:color w:val="000000" w:themeColor="text1"/>
                <w:sz w:val="24"/>
                <w:szCs w:val="24"/>
                <w:lang w:val="vi-VN"/>
              </w:rPr>
            </w:r>
            <w:r>
              <w:rPr>
                <w:rFonts w:ascii="Times New Roman" w:hAnsi="Times New Roman" w:eastAsia="Times New Roman" w:cs="Times New Roman"/>
                <w:color w:val="000000" w:themeColor="text1"/>
                <w:spacing w:val="3"/>
                <w:sz w:val="24"/>
                <w:szCs w:val="24"/>
                <w:highlight w:val="white"/>
              </w:rPr>
              <w:t xml:space="preserve">Cụm Công Nghiệp Cầu Giát, Phường Duy Tân, Tỉnh Ninh Bình</w:t>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MST:</w:t>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color w:val="000000" w:themeColor="text1"/>
                <w:spacing w:val="3"/>
                <w:sz w:val="24"/>
                <w:szCs w:val="24"/>
                <w:highlight w:val="white"/>
              </w:rPr>
              <w:t xml:space="preserve">0100364508</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Đại diện</w:t>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color w:val="000000" w:themeColor="text1"/>
                <w:spacing w:val="3"/>
                <w:sz w:val="24"/>
                <w:szCs w:val="24"/>
                <w:highlight w:val="white"/>
              </w:rPr>
              <w:t xml:space="preserve">Khuất Duy Cường</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t xml:space="preserve">Chức vụ</w:t>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lang w:val="pt-BR"/>
              </w:rPr>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color w:val="000000" w:themeColor="text1"/>
                <w:spacing w:val="3"/>
                <w:sz w:val="24"/>
                <w:szCs w:val="24"/>
                <w:highlight w:val="white"/>
              </w:rPr>
              <w:t xml:space="preserve">Giám đốc</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275/2026/1348/VFI-HĐTĐ.44.A-01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275/2026/1348/VFI-HĐTĐ.44.A </w:t>
      </w:r>
      <w:r>
        <w:rPr>
          <w:i/>
          <w:iCs/>
          <w:color w:val="000000" w:themeColor="text1"/>
        </w:rPr>
        <w:t xml:space="preserve">,</w:t>
      </w:r>
      <w:r>
        <w:rPr>
          <w:i/>
          <w:iCs/>
          <w:color w:val="000000" w:themeColor="text1"/>
        </w:rPr>
        <w:t xml:space="preserve">ngày 20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275/2026/1348/VFI-HĐTĐ.44.A đã ký ngày 20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275/2026/1348/VFI-HĐTĐ.44.A đã ký ngày 20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275/2026/1348/VFI-HĐTĐ.44.A</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275/2026/1348/VFI-HĐTĐ.44.A</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Khuất Duy Cường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2026-08-28T07:54:31Z</dcterms:modified>
</cp:coreProperties>
</file>