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275/2026/1247/VFI-HĐTĐ.48.A</w:t>
            </w:r>
            <w:r>
              <w:rPr>
                <w:i/>
                <w:color w:val="000000" w:themeColor="text1"/>
              </w:rP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11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ĐÀO BÁ SÁNG</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030085025458</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Phường Lê Đại Hành, thành phố Hải Phòng</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85, tờ bản đồ số: 39, địa chỉ: Xóm Gò Mè, xã Yên Xuân, thành phố Hà Nội theo Giấy chứng nhận quyền sử dụng đất, quyền sở hữu tài sản gắn liền với đất số: AA 03997308, số vào sổ cấp GCN: CN508 do Chi nhánh Văn phòng đăng k</w:t>
      </w:r>
      <w:r>
        <w:rPr>
          <w:rFonts w:ascii="Times New Roman" w:hAnsi="Times New Roman" w:eastAsia="Times New Roman" w:cs="Times New Roman"/>
          <w:color w:val="000000"/>
          <w:sz w:val="24"/>
        </w:rPr>
        <w:t xml:space="preserve">ý đất đai Hà Nội - huyện Thạch Thất cấp ngày 10/9/2025; Chủ sử dụng đất là Ông Đào Bá Sáng</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2026-08-14T07:19:39Z</dcterms:modified>
</cp:coreProperties>
</file>