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rFonts w:ascii="Times New Roman" w:hAnsi="Times New Roman" w:cs="Times New Roman"/>
                <w:bCs/>
                <w:i/>
                <w:color w:val="000000" w:themeColor="text1"/>
                <w:sz w:val="24"/>
                <w:szCs w:val="24"/>
              </w:rPr>
            </w:pPr>
            <w:r>
              <w:rPr>
                <w:rFonts w:ascii="Times New Roman" w:hAnsi="Times New Roman" w:eastAsia="Times New Roman" w:cs="Times New Roman"/>
                <w:i/>
                <w:iCs/>
                <w:color w:val="000000" w:themeColor="text1"/>
                <w:sz w:val="24"/>
                <w:szCs w:val="24"/>
              </w:rPr>
              <w:t xml:space="preserve">Số: </w:t>
            </w:r>
            <w:r>
              <w:rPr>
                <w:rFonts w:ascii="Times New Roman" w:hAnsi="Times New Roman" w:eastAsia="Times New Roman" w:cs="Times New Roman"/>
                <w:i/>
                <w:iCs/>
                <w:color w:val="000000" w:themeColor="text1"/>
                <w:sz w:val="24"/>
                <w:szCs w:val="24"/>
              </w:rPr>
            </w:r>
            <w:r>
              <w:rPr>
                <w:rFonts w:ascii="Times New Roman" w:hAnsi="Times New Roman" w:eastAsia="Times New Roman" w:cs="Times New Roman"/>
                <w:i/>
                <w:iCs/>
                <w:color w:val="081b3a"/>
                <w:spacing w:val="3"/>
                <w:sz w:val="24"/>
                <w:szCs w:val="24"/>
                <w:highlight w:val="white"/>
              </w:rPr>
              <w:t xml:space="preserve">275/2026/1206/VFI-HĐTĐ.48.A</w:t>
            </w:r>
            <w:r>
              <w:rPr>
                <w:rFonts w:ascii="Times New Roman" w:hAnsi="Times New Roman" w:eastAsia="Times New Roman" w:cs="Times New Roman"/>
                <w:i/>
                <w:iCs/>
                <w:color w:val="000000" w:themeColor="text1"/>
                <w:sz w:val="24"/>
                <w:szCs w:val="24"/>
              </w:rPr>
            </w:r>
            <w:r>
              <w:rPr>
                <w:rFonts w:ascii="Times New Roman" w:hAnsi="Times New Roman" w:eastAsia="Times New Roman" w:cs="Times New Roman"/>
                <w:i/>
                <w:iCs/>
                <w:color w:val="000000" w:themeColor="text1"/>
                <w:sz w:val="24"/>
                <w:szCs w:val="24"/>
              </w:rPr>
            </w:r>
          </w:p>
        </w:tc>
        <w:tc>
          <w:tcPr>
            <w:tcBorders/>
            <w:tcW w:w="5700" w:type="dxa"/>
            <w:vAlign w:val="center"/>
            <w:textDirection w:val="lrTb"/>
            <w:noWrap w:val="false"/>
          </w:tcPr>
          <w:p>
            <w:pPr>
              <w:pBdr/>
              <w:spacing w:after="40" w:before="120" w:line="288" w:lineRule="auto"/>
              <w:ind w:firstLine="3" w:left="357"/>
              <w:jc w:val="right"/>
              <w:rPr>
                <w:rFonts w:ascii="Times New Roman" w:hAnsi="Times New Roman" w:cs="Times New Roman"/>
                <w:i/>
                <w:iCs/>
                <w:color w:val="000000" w:themeColor="text1"/>
                <w:sz w:val="24"/>
                <w:szCs w:val="24"/>
              </w:rPr>
            </w:pPr>
            <w:r>
              <w:rPr>
                <w:rFonts w:ascii="Times New Roman" w:hAnsi="Times New Roman" w:eastAsia="Times New Roman" w:cs="Times New Roman"/>
                <w:i/>
                <w:iCs/>
                <w:color w:val="000000" w:themeColor="text1"/>
                <w:sz w:val="24"/>
                <w:szCs w:val="24"/>
              </w:rPr>
              <w:t xml:space="preserve">    </w:t>
            </w:r>
            <w:r>
              <w:rPr>
                <w:rFonts w:ascii="Times New Roman" w:hAnsi="Times New Roman" w:eastAsia="Times New Roman" w:cs="Times New Roman"/>
                <w:i/>
                <w:iCs/>
                <w:color w:val="000000" w:themeColor="text1"/>
                <w:sz w:val="24"/>
                <w:szCs w:val="24"/>
              </w:rPr>
              <w:t xml:space="preserve">    </w:t>
            </w:r>
            <w:r>
              <w:rPr>
                <w:rFonts w:ascii="Times New Roman" w:hAnsi="Times New Roman" w:eastAsia="Times New Roman" w:cs="Times New Roman"/>
                <w:i/>
                <w:iCs/>
                <w:color w:val="000000" w:themeColor="text1"/>
                <w:sz w:val="24"/>
                <w:szCs w:val="24"/>
              </w:rPr>
              <w:t xml:space="preserve">  Hà Nội, </w:t>
            </w:r>
            <w:r>
              <w:rPr>
                <w:rFonts w:ascii="Times New Roman" w:hAnsi="Times New Roman" w:eastAsia="Times New Roman" w:cs="Times New Roman"/>
                <w:i/>
                <w:iCs/>
                <w:color w:val="000000" w:themeColor="text1"/>
                <w:sz w:val="24"/>
                <w:szCs w:val="24"/>
              </w:rPr>
              <w:t xml:space="preserve">ngày 4 tháng 8 năm 2026</w:t>
            </w:r>
            <w:r>
              <w:rPr>
                <w:rFonts w:ascii="Times New Roman" w:hAnsi="Times New Roman" w:eastAsia="Times New Roman" w:cs="Times New Roman"/>
                <w:i/>
                <w:iCs/>
                <w:color w:val="000000" w:themeColor="text1"/>
                <w:sz w:val="24"/>
                <w:szCs w:val="24"/>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BÀ NGUYỄN VÂN ANH</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001181000358</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Số 2, ngõ 292 đường Nghi Tàm, phường Yên Phụ, quận Tây Hồ, thành phố Hà Nội</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391, tờ bản đồ số: 15 có địa chỉ: Xã Mỹ Đình, huyện Từ Liêm, thành phố Hà Nội (nay là phường Từ Liêm, thành phố Hà Nội) theo Giấy chứng nhận quyền sử dụng đất quyền sở hữu nhà ở và tài sản khác gắn liền với đất số: BD 829528, số vào sổ cấp GCN</w:t>
      </w:r>
      <w:r>
        <w:rPr>
          <w:rFonts w:ascii="Times New Roman" w:hAnsi="Times New Roman" w:eastAsia="Times New Roman" w:cs="Times New Roman"/>
          <w:color w:val="000000"/>
          <w:sz w:val="24"/>
        </w:rPr>
        <w:t xml:space="preserve">: CH00821 do Uỷ ban nhân dân huyện Từ Liêm cấp ngày 06/5/2011; Chủ sử dụng đất là Bà Nguyễn Vân Anh</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3.240.741</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259.259</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jc w:val="left"/>
        <w:rPr>
          <w:b/>
          <w:color w:val="000000" w:themeColor="text1"/>
        </w:rPr>
      </w:pPr>
      <w:r/>
      <w:bookmarkStart w:id="2" w:name="_Hlk208906103"/>
      <w:r/>
      <w:bookmarkEnd w:id="2"/>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Phạm Thị Dung</cp:lastModifiedBy>
  <cp:revision>84</cp:revision>
  <dcterms:created xsi:type="dcterms:W3CDTF">2025-09-08T09:51:00Z</dcterms:created>
  <dcterms:modified xsi:type="dcterms:W3CDTF">2026-08-06T02:03:12Z</dcterms:modified>
</cp:coreProperties>
</file>