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lang w:val="en-US" w:eastAsia="en-US"/>
              </w:rPr>
              <w:t xml:space="preserve">CỘNG HOÀ XÃ HỘI CHỦ NGHĨA VIỆT NAM</w:t>
            </w:r>
            <w:r>
              <w:rPr>
                <w:rFonts w:ascii="Times New Roman" w:hAnsi="Times New Roman" w:eastAsia="Times New Roman" w:cs="Times New Roman"/>
                <w:b/>
                <w:bCs/>
                <w:color w:val="000000" w:themeColor="text1"/>
                <w:sz w:val="24"/>
                <w:szCs w:val="24"/>
                <w:lang w:val="en-US" w:eastAsia="en-US"/>
              </w:rPr>
            </w:r>
          </w:p>
          <w:p>
            <w:pPr>
              <w:pBdr/>
              <w:tabs>
                <w:tab w:val="left" w:leader="none" w:pos="8931"/>
              </w:tabs>
              <w:spacing w:line="288" w:lineRule="auto"/>
              <w:ind/>
              <w:jc w:val="center"/>
              <w:rPr>
                <w:rFonts w:ascii="Times New Roman" w:hAnsi="Times New Roman" w:cs="Times New Roman"/>
                <w:b/>
                <w:color w:val="000000" w:themeColor="text1"/>
                <w:sz w:val="24"/>
                <w:szCs w:val="24"/>
              </w:rPr>
            </w:pPr>
            <w:r>
              <w:rPr>
                <w:rFonts w:ascii="Times New Roman" w:hAnsi="Times New Roman" w:eastAsia="Times New Roman" w:cs="Times New Roman"/>
                <w:b/>
                <w:color w:val="000000" w:themeColor="text1"/>
                <w:sz w:val="24"/>
                <w:szCs w:val="24"/>
              </w:rPr>
              <w:t xml:space="preserve">Độc lập - Tự do – Hạnh phúc</w:t>
            </w:r>
            <w:r>
              <w:rPr>
                <w:rFonts w:ascii="Times New Roman" w:hAnsi="Times New Roman" w:eastAsia="Times New Roman" w:cs="Times New Roman"/>
                <w:b/>
                <w:color w:val="000000" w:themeColor="text1"/>
                <w:sz w:val="24"/>
                <w:szCs w:val="24"/>
              </w:rPr>
            </w:r>
          </w:p>
          <w:p>
            <w:pPr>
              <w:pBdr/>
              <w:tabs>
                <w:tab w:val="left" w:leader="none" w:pos="8931"/>
              </w:tabs>
              <w:spacing w:line="288" w:lineRule="auto"/>
              <w:ind/>
              <w:jc w:val="center"/>
              <w:rPr>
                <w:rFonts w:ascii="Times New Roman" w:hAnsi="Times New Roman" w:cs="Times New Roman"/>
                <w:b/>
                <w:color w:val="000000" w:themeColor="text1"/>
                <w:sz w:val="24"/>
                <w:szCs w:val="24"/>
              </w:rPr>
            </w:pPr>
            <w:r>
              <w:rPr>
                <w:rFonts w:ascii="Times New Roman" w:hAnsi="Times New Roman" w:eastAsia="Times New Roman" w:cs="Times New Roman"/>
                <w:b/>
                <w:color w:val="000000" w:themeColor="text1"/>
                <w:sz w:val="24"/>
                <w:szCs w:val="24"/>
              </w:rPr>
              <w:t xml:space="preserve">-----***-----</w:t>
            </w:r>
            <w:r>
              <w:rPr>
                <w:rFonts w:ascii="Times New Roman" w:hAnsi="Times New Roman" w:eastAsia="Times New Roman" w:cs="Times New Roman"/>
                <w:b/>
                <w:color w:val="000000" w:themeColor="text1"/>
                <w:sz w:val="24"/>
                <w:szCs w:val="24"/>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rFonts w:ascii="Times New Roman" w:hAnsi="Times New Roman" w:cs="Times New Roman"/>
                <w:color w:val="000000" w:themeColor="text1"/>
                <w:sz w:val="24"/>
                <w:szCs w:val="24"/>
              </w:rPr>
            </w:pPr>
            <w:r>
              <w:rPr>
                <w:rFonts w:ascii="Times New Roman" w:hAnsi="Times New Roman" w:eastAsia="Times New Roman" w:cs="Times New Roman"/>
                <w:i/>
                <w:color w:val="000000" w:themeColor="text1"/>
                <w:sz w:val="24"/>
                <w:szCs w:val="24"/>
              </w:rPr>
              <w:t xml:space="preserve">Số: </w:t>
            </w:r>
            <w:r>
              <w:rPr>
                <w:rFonts w:ascii="Times New Roman" w:hAnsi="Times New Roman" w:eastAsia="Times New Roman" w:cs="Times New Roman"/>
                <w:color w:val="000000"/>
                <w:spacing w:val="-4"/>
                <w:sz w:val="24"/>
                <w:szCs w:val="24"/>
              </w:rPr>
              <w:t xml:space="preserve"> </w:t>
            </w:r>
            <w:r>
              <w:rPr>
                <w:rFonts w:ascii="Times New Roman" w:hAnsi="Times New Roman" w:eastAsia="Times New Roman" w:cs="Times New Roman"/>
                <w:color w:val="000000" w:themeColor="text1"/>
                <w:sz w:val="24"/>
                <w:szCs w:val="24"/>
              </w:rPr>
              <w:t xml:space="preserve">275/2026/1112/VFI-HĐTĐ.53.A</w:t>
            </w:r>
            <w:r>
              <w:rPr>
                <w:rFonts w:ascii="Times New Roman" w:hAnsi="Times New Roman" w:eastAsia="Times New Roman" w:cs="Times New Roman"/>
                <w:i/>
                <w:color w:val="000000" w:themeColor="text1"/>
                <w:sz w:val="24"/>
                <w:szCs w:val="24"/>
              </w:rPr>
            </w:r>
            <w:r>
              <w:rPr>
                <w:rFonts w:ascii="Times New Roman" w:hAnsi="Times New Roman" w:eastAsia="Times New Roman" w:cs="Times New Roman"/>
                <w:color w:val="000000" w:themeColor="text1"/>
                <w:sz w:val="24"/>
                <w:szCs w:val="24"/>
              </w:rPr>
            </w:r>
          </w:p>
        </w:tc>
        <w:tc>
          <w:tcPr>
            <w:tcBorders/>
            <w:tcW w:w="5700" w:type="dxa"/>
            <w:vAlign w:val="center"/>
            <w:textDirection w:val="lrTb"/>
            <w:noWrap w:val="false"/>
          </w:tcPr>
          <w:p>
            <w:pPr>
              <w:pBdr/>
              <w:spacing w:after="40" w:before="120" w:line="288" w:lineRule="auto"/>
              <w:ind w:firstLine="3" w:left="357"/>
              <w:jc w:val="right"/>
              <w:rPr>
                <w:rFonts w:ascii="Times New Roman" w:hAnsi="Times New Roman" w:cs="Times New Roman"/>
                <w:i/>
                <w:iCs/>
                <w:color w:val="000000" w:themeColor="text1"/>
                <w:sz w:val="24"/>
                <w:szCs w:val="24"/>
              </w:rPr>
            </w:pPr>
            <w:r>
              <w:rPr>
                <w:rFonts w:ascii="Times New Roman" w:hAnsi="Times New Roman" w:eastAsia="Times New Roman" w:cs="Times New Roman"/>
                <w:i/>
                <w:iCs/>
                <w:color w:val="000000" w:themeColor="text1"/>
                <w:sz w:val="24"/>
                <w:szCs w:val="24"/>
              </w:rPr>
              <w:t xml:space="preserve">    </w:t>
            </w:r>
            <w:r>
              <w:rPr>
                <w:rFonts w:ascii="Times New Roman" w:hAnsi="Times New Roman" w:eastAsia="Times New Roman" w:cs="Times New Roman"/>
                <w:i/>
                <w:iCs/>
                <w:color w:val="000000" w:themeColor="text1"/>
                <w:sz w:val="24"/>
                <w:szCs w:val="24"/>
              </w:rPr>
              <w:t xml:space="preserve">    </w:t>
            </w:r>
            <w:r>
              <w:rPr>
                <w:rFonts w:ascii="Times New Roman" w:hAnsi="Times New Roman" w:eastAsia="Times New Roman" w:cs="Times New Roman"/>
                <w:i/>
                <w:iCs/>
                <w:color w:val="000000" w:themeColor="text1"/>
                <w:sz w:val="24"/>
                <w:szCs w:val="24"/>
              </w:rPr>
              <w:t xml:space="preserve">  Hà Nội, </w:t>
            </w:r>
            <w:r>
              <w:rPr>
                <w:rFonts w:ascii="Times New Roman" w:hAnsi="Times New Roman" w:eastAsia="Times New Roman" w:cs="Times New Roman"/>
                <w:i/>
                <w:iCs/>
                <w:color w:val="000000" w:themeColor="text1"/>
                <w:sz w:val="24"/>
                <w:szCs w:val="24"/>
              </w:rPr>
              <w:t xml:space="preserve">ngày 17 tháng 7 năm 2026</w:t>
            </w:r>
            <w:r>
              <w:rPr>
                <w:rFonts w:ascii="Times New Roman" w:hAnsi="Times New Roman" w:eastAsia="Times New Roman" w:cs="Times New Roman"/>
                <w:i/>
                <w:iCs/>
                <w:color w:val="000000" w:themeColor="text1"/>
                <w:sz w:val="24"/>
                <w:szCs w:val="24"/>
              </w:rPr>
            </w:r>
          </w:p>
        </w:tc>
      </w:tr>
    </w:tbl>
    <w:p>
      <w:pPr>
        <w:pBdr/>
        <w:spacing w:line="288" w:lineRule="auto"/>
        <w:ind/>
        <w:jc w:val="center"/>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r>
      <w:r>
        <w:rPr>
          <w:rFonts w:ascii="Times New Roman" w:hAnsi="Times New Roman" w:eastAsia="Times New Roman" w:cs="Times New Roman"/>
          <w:b/>
          <w:bCs/>
          <w:color w:val="000000" w:themeColor="text1"/>
          <w:sz w:val="24"/>
          <w:szCs w:val="24"/>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ANH LINH (KHÁCH HÀNG THUẬN THÀNH)</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000000000001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t xml:space="preserve">Giấy chứng nhận số DP 337884, Số thửa 216, </w:t>
      </w:r>
      <w:r>
        <w:rPr>
          <w:bCs/>
        </w:rPr>
        <w:t xml:space="preserve">Tờ bản đồ 11P, Địa chỉ trên sổ XÃ MÃO ĐIÈN, THỊ TRẤN THUẬN THÀNH, TỈNH BẮC NINH, Diện tích: Đất ở nông thôn (122.2 m2) | Tài sản tại: Phường Mão Điền, Tỉnh Bắc Ninh, độ rộng đường trước mặt tài sản 5.7m, mặt tiền 5.2m, 21.05777777777778, 106.12833333333333</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7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4.629.630</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ANH LINH (KHÁCH HÀNG THUẬN THÀNH)</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HSTD-20260717-0004/HĐTĐ-VFI-01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HSTD-20260717-0004/HĐTĐ-VFI </w:t>
      </w:r>
      <w:r>
        <w:rPr>
          <w:color w:val="000000" w:themeColor="text1"/>
        </w:rPr>
        <w:t xml:space="preserve">đã ký </w:t>
      </w:r>
      <w:r>
        <w:rPr>
          <w:color w:val="000000" w:themeColor="text1"/>
        </w:rPr>
        <w:t xml:space="preserve">ngày 21 tháng 7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21 tháng 7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ANH LINH (KHÁCH HÀNG THUẬN THÀNH)</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000000000001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HSTD-20260717-0004/HĐTĐ-VFI-01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HSTD-20260717-0004/HĐTĐ-VFI </w:t>
      </w:r>
      <w:r>
        <w:rPr>
          <w:i/>
          <w:iCs/>
          <w:color w:val="000000" w:themeColor="text1"/>
        </w:rPr>
        <w:t xml:space="preserve">,</w:t>
      </w:r>
      <w:r>
        <w:rPr>
          <w:i/>
          <w:iCs/>
          <w:color w:val="000000" w:themeColor="text1"/>
        </w:rPr>
        <w:t xml:space="preserve">ngày 21 tháng 7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HSTD-20260717-0004/HĐTĐ-VFI đã ký ngày 21 tháng 7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HSTD-20260717-0004/HĐTĐ-VFI đã ký ngày 21 tháng 7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HSTD-20260717-0004/HĐTĐ-VFI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HSTD-20260717-0004/HĐTĐ-VFI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ANH LINH (KHÁCH HÀNG THUẬN THÀNH)</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Trần Thị Thanh Tâm</cp:lastModifiedBy>
  <cp:revision>84</cp:revision>
  <dcterms:created xsi:type="dcterms:W3CDTF">2025-09-08T09:51:00Z</dcterms:created>
  <dcterms:modified xsi:type="dcterms:W3CDTF">2026-07-23T07:06:53Z</dcterms:modified>
</cp:coreProperties>
</file>