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spacing w:val="-4"/>
                <w:highlight w:val="white"/>
                <w:lang w:val="vi-VN"/>
              </w:rPr>
            </w:r>
            <w:r>
              <w:rPr>
                <w:color w:val="000000" w:themeColor="text1"/>
                <w:spacing w:val="-4"/>
                <w:highlight w:val="white"/>
                <w:lang w:val="vi-VN"/>
              </w:rPr>
              <w:t xml:space="preserve">275/2026/1023/VFI-HĐTĐ.44.A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76" w:lineRule="auto"/>
              <w:ind/>
              <w:jc w:val="both"/>
              <w:rPr>
                <w:b/>
                <w:bCs/>
                <w:color w:val="000000" w:themeColor="text1"/>
                <w:highlight w:val="white"/>
              </w:rPr>
            </w:pPr>
            <w:r>
              <w:rPr>
                <w:b/>
                <w:bCs/>
                <w:color w:val="000000" w:themeColor="text1"/>
                <w:highlight w:val="none"/>
                <w:lang w:val="pt-BR"/>
              </w:rPr>
              <w:t xml:space="preserve">BÊN A</w:t>
            </w:r>
            <w:r>
              <w:rPr>
                <w:b/>
                <w:bCs/>
                <w:color w:val="000000" w:themeColor="text1"/>
                <w:highlight w:val="white"/>
                <w:lang w:val="pt-BR"/>
              </w:rPr>
            </w:r>
            <w:r>
              <w:rPr>
                <w:b/>
                <w:bCs/>
                <w:color w:val="000000" w:themeColor="text1"/>
                <w:highlight w:val="white"/>
              </w:rPr>
            </w:r>
          </w:p>
        </w:tc>
        <w:tc>
          <w:tcPr>
            <w:tcBorders/>
            <w:tcW w:w="270" w:type="dxa"/>
            <w:vAlign w:val="center"/>
            <w:textDirection w:val="lrTb"/>
            <w:noWrap w:val="false"/>
          </w:tcPr>
          <w:p>
            <w:pPr>
              <w:pBdr/>
              <w:spacing w:after="40" w:before="40" w:line="276" w:lineRule="auto"/>
              <w:ind/>
              <w:jc w:val="center"/>
              <w:rPr>
                <w:bCs/>
                <w:color w:val="000000" w:themeColor="text1"/>
                <w:highlight w:val="white"/>
              </w:rPr>
            </w:pPr>
            <w:r>
              <w:rPr>
                <w:bCs/>
                <w:color w:val="000000"/>
                <w:highlight w:val="white"/>
                <w:lang w:val="pt-BR"/>
              </w:rPr>
              <w:t xml:space="preserve">:</w:t>
            </w:r>
            <w:r>
              <w:rPr>
                <w:bCs/>
                <w:color w:val="000000" w:themeColor="text1"/>
                <w:highlight w:val="white"/>
              </w:rPr>
            </w:r>
            <w:r>
              <w:rPr>
                <w:bCs/>
                <w:color w:val="000000" w:themeColor="text1"/>
                <w:highlight w:val="white"/>
              </w:rPr>
            </w:r>
          </w:p>
        </w:tc>
        <w:tc>
          <w:tcPr>
            <w:tcBorders/>
            <w:tcW w:w="7951" w:type="dxa"/>
            <w:vAlign w:val="center"/>
            <w:textDirection w:val="lrTb"/>
            <w:noWrap w:val="false"/>
          </w:tcPr>
          <w:p>
            <w:pPr>
              <w:pBdr/>
              <w:spacing/>
              <w:ind/>
              <w:rPr>
                <w:b/>
                <w:bCs/>
                <w:highlight w:val="white"/>
              </w:rPr>
            </w:pPr>
            <w:r>
              <w:rPr>
                <w:b/>
                <w:bCs/>
                <w:highlight w:val="white"/>
              </w:rPr>
            </w:r>
            <w:r>
              <w:rPr>
                <w:b/>
                <w:bCs/>
                <w:color w:val="000000" w:themeColor="text1"/>
                <w:spacing w:val="-4"/>
                <w:highlight w:val="white"/>
              </w:rPr>
              <w:t xml:space="preserve">Ông Hoàng Văn Quân</w:t>
            </w:r>
            <w:r>
              <w:rPr>
                <w:b/>
                <w:bCs/>
                <w:highlight w:val="white"/>
              </w:rPr>
            </w:r>
            <w:r>
              <w:rPr>
                <w:b/>
                <w:bCs/>
                <w:highlight w:val="white"/>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highlight w:val="white"/>
              </w:rPr>
            </w:pPr>
            <w:r>
              <w:rPr>
                <w:bCs/>
                <w:color w:val="000000" w:themeColor="text1"/>
                <w:highlight w:val="white"/>
                <w:lang w:val="pt-BR"/>
              </w:rPr>
              <w:t xml:space="preserve">CMTND</w:t>
            </w:r>
            <w:r>
              <w:rPr>
                <w:bCs/>
                <w:color w:val="000000" w:themeColor="text1"/>
                <w:highlight w:val="white"/>
              </w:rPr>
            </w:r>
            <w:r>
              <w:rPr>
                <w:bCs/>
                <w:color w:val="000000" w:themeColor="text1"/>
                <w:highlight w:val="white"/>
              </w:rPr>
            </w:r>
          </w:p>
        </w:tc>
        <w:tc>
          <w:tcPr>
            <w:tcBorders/>
            <w:tcW w:w="270" w:type="dxa"/>
            <w:vAlign w:val="center"/>
            <w:textDirection w:val="lrTb"/>
            <w:noWrap w:val="false"/>
          </w:tcPr>
          <w:p>
            <w:pPr>
              <w:pBdr/>
              <w:spacing w:after="40" w:before="40" w:line="276" w:lineRule="auto"/>
              <w:ind/>
              <w:jc w:val="center"/>
              <w:rPr>
                <w:bCs/>
                <w:color w:val="000000" w:themeColor="text1"/>
                <w:highlight w:val="white"/>
              </w:rPr>
            </w:pPr>
            <w:r>
              <w:rPr>
                <w:bCs/>
                <w:color w:val="000000"/>
                <w:highlight w:val="white"/>
                <w:lang w:val="pt-BR"/>
              </w:rPr>
              <w:t xml:space="preserve">:</w:t>
            </w:r>
            <w:r>
              <w:rPr>
                <w:bCs/>
                <w:color w:val="000000" w:themeColor="text1"/>
                <w:highlight w:val="white"/>
              </w:rPr>
            </w:r>
            <w:r>
              <w:rPr>
                <w:bCs/>
                <w:color w:val="000000" w:themeColor="text1"/>
                <w:highlight w:val="white"/>
              </w:rPr>
            </w:r>
          </w:p>
        </w:tc>
        <w:tc>
          <w:tcPr>
            <w:tcBorders/>
            <w:tcW w:w="7951" w:type="dxa"/>
            <w:vAlign w:val="center"/>
            <w:textDirection w:val="lrTb"/>
            <w:noWrap w:val="false"/>
          </w:tcPr>
          <w:p>
            <w:pPr>
              <w:pBdr/>
              <w:spacing w:after="40" w:before="40" w:line="276" w:lineRule="auto"/>
              <w:ind/>
              <w:jc w:val="both"/>
              <w:rPr>
                <w:color w:val="ff0000"/>
                <w:highlight w:val="white"/>
              </w:rPr>
            </w:pPr>
            <w:r>
              <w:rPr>
                <w:color w:val="000000" w:themeColor="text1"/>
                <w:highlight w:val="white"/>
                <w:lang w:val="vi-VN"/>
              </w:rPr>
              <w:t xml:space="preserve">135709542</w:t>
            </w:r>
            <w:r>
              <w:rPr>
                <w:color w:val="ff0000"/>
                <w:highlight w:val="white"/>
              </w:rPr>
            </w:r>
            <w:r>
              <w:rPr>
                <w:color w:val="ff0000"/>
                <w:highlight w:val="white"/>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b w:val="0"/>
          <w:bCs w:val="0"/>
          <w:highlight w:val="white"/>
        </w:rPr>
        <w:t xml:space="preserve">Q</w:t>
      </w:r>
      <w:r>
        <w:rPr>
          <w:b w:val="0"/>
          <w:bCs w:val="0"/>
          <w:highlight w:val="white"/>
        </w:rPr>
        <w:t xml:space="preserve">uyền sử dụng đất tại thửa đất số: L97, tờ bản đồ số: 4, có địa chỉ: Phường Trưng Nhị, thị xã Phúc Yên, tỉnh Vĩnh Phúc (nay là tổ 3, phường Phúc Yên, tỉnh Phú Thọ) theo Giấy chứng nhận quyền sử dụng đất, quyền sở hữu nhà ở và tài sản khác gắn liền với đất s</w:t>
      </w:r>
      <w:r>
        <w:rPr>
          <w:b w:val="0"/>
          <w:bCs w:val="0"/>
          <w:highlight w:val="white"/>
        </w:rPr>
        <w:t xml:space="preserve">ố: BA 958200, Số vào sổ cấp GCN: CH04039 do UBND Thị xã Phúc Yên cấp ngày 26/01/2016; chủ sử dụng đất là Ông Hoàng Văn Quân và Bà Ngô Thị Thái Hòa</w:t>
      </w:r>
      <w:r>
        <w:rPr>
          <w:i/>
          <w:iCs/>
          <w:highlight w:val="white"/>
        </w:rPr>
        <w:t xml:space="preserve">.</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HSTD-20260708-0004/HĐTĐ-VFI-01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HSTD-20260708-0004/HĐTĐ-VFI </w:t>
      </w:r>
      <w:r>
        <w:rPr>
          <w:color w:val="000000" w:themeColor="text1"/>
        </w:rPr>
        <w:t xml:space="preserve">đã ký </w:t>
      </w:r>
      <w:r>
        <w:rPr>
          <w:color w:val="000000" w:themeColor="text1"/>
        </w:rPr>
        <w:t xml:space="preserve">ngày 1 tháng 7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9 tháng 7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Hoàng Trung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000000000001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HSTD-20260708-0004/HĐTĐ-VFI-01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HSTD-20260708-0004/HĐTĐ-VFI </w:t>
      </w:r>
      <w:r>
        <w:rPr>
          <w:i/>
          <w:iCs/>
          <w:color w:val="000000" w:themeColor="text1"/>
        </w:rPr>
        <w:t xml:space="preserve">,</w:t>
      </w:r>
      <w:r>
        <w:rPr>
          <w:i/>
          <w:iCs/>
          <w:color w:val="000000" w:themeColor="text1"/>
        </w:rPr>
        <w:t xml:space="preserve">ngày 1 tháng 7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HSTD-20260708-0004/HĐTĐ-VFI đã ký ngày 1 tháng 7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HSTD-20260708-0004/HĐTĐ-VFI đã ký ngày 1 tháng 7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HSTD-20260708-0004/HĐTĐ-VFI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HSTD-20260708-0004/HĐTĐ-VFI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Hoàng Trung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2026-07-17T08:34:56Z</dcterms:modified>
</cp:coreProperties>
</file>