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w:t>
            </w:r>
            <w:r>
              <w:rPr>
                <w:i/>
                <w:iCs/>
                <w:color w:val="000000" w:themeColor="text1"/>
              </w:rPr>
              <w:t xml:space="preserve"> </w:t>
            </w:r>
            <w:r>
              <w:rPr>
                <w:rFonts w:ascii="Times New Roman" w:hAnsi="Times New Roman" w:eastAsia="Times New Roman" w:cs="Times New Roman"/>
                <w:i/>
                <w:iCs/>
                <w:color w:val="000000"/>
                <w:sz w:val="24"/>
              </w:rPr>
              <w:t xml:space="preserve">275/2026/1042/VFI-HĐTĐ.69.A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7 tháng 7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pPr>
            <w:r/>
            <w:r>
              <w:rPr>
                <w:b/>
                <w:bCs/>
              </w:rPr>
              <w:t xml:space="preserve">CÔNG TY CỔ PHẦN TƯ VẤN VÀ ĐẦU TƯ XÂY DỰNG HÙNG SƠN</w:t>
            </w:r>
            <w:r>
              <w:rPr>
                <w:b/>
                <w:bCs/>
              </w:rPr>
            </w:r>
            <w:r>
              <w:rPr>
                <w:b/>
                <w:bCs/>
              </w:rPr>
            </w:r>
            <w:r>
              <w:rPr>
                <w:b/>
                <w:bCs/>
              </w:rPr>
            </w: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MST</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r>
            <w:r>
              <w:rPr>
                <w:rFonts w:ascii="Times New Roman" w:hAnsi="Times New Roman" w:eastAsia="Times New Roman" w:cs="Times New Roman"/>
                <w:color w:val="000000"/>
                <w:sz w:val="24"/>
              </w:rPr>
              <w:t xml:space="preserve">0106488468</w:t>
            </w:r>
            <w:r>
              <w:rPr>
                <w:color w:val="ff0000"/>
                <w:lang w:val="pt-BR"/>
              </w:rPr>
            </w:r>
            <w:r>
              <w:rPr>
                <w:color w:val="ff0000"/>
                <w:lang w:val="pt-BR"/>
              </w:rPr>
            </w:r>
          </w:p>
        </w:tc>
      </w:tr>
      <w:tr>
        <w:trPr>
          <w:trHeight w:val="20"/>
        </w:trPr>
        <w:tc>
          <w:tcPr>
            <w:tcBorders/>
            <w:tcW w:w="1505" w:type="dxa"/>
            <w:vAlign w:val="center"/>
            <w:vMerge w:val="restart"/>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Địa chỉ</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76"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2"/>
                <w:sz w:val="24"/>
                <w:szCs w:val="24"/>
                <w:highlight w:val="white"/>
              </w:rPr>
              <w:t xml:space="preserve">Số 38, Đồng Cam, Xã Thạch Thất, TP Hà Nội, Việt Nam</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trHeight w:val="20"/>
        </w:trPr>
        <w:tc>
          <w:tcPr>
            <w:tcBorders/>
            <w:tcW w:w="1505" w:type="dxa"/>
            <w:vAlign w:val="center"/>
            <w:vMerge w:val="restart"/>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Đại diện pháp luật</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76" w:lineRule="auto"/>
              <w:ind/>
              <w:jc w:val="center"/>
              <w:rPr>
                <w:bCs/>
                <w:color w:val="000000"/>
                <w:lang w:val="pt-BR"/>
              </w:rPr>
            </w:pPr>
            <w:r>
              <w:rPr>
                <w:bCs/>
                <w:color w:val="000000"/>
                <w:lang w:val="pt-BR"/>
              </w:rPr>
              <w:t xml:space="preserve">:</w:t>
            </w:r>
            <w:r>
              <w:rPr>
                <w:bCs/>
                <w:color w:val="000000"/>
                <w:lang w:val="pt-BR"/>
              </w:rPr>
            </w:r>
            <w:r>
              <w:rPr>
                <w:bCs/>
                <w:color w:val="000000"/>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235" w:lineRule="atLeast"/>
              <w:ind w:right="0" w:firstLine="0" w:left="0"/>
              <w:jc w:val="both"/>
              <w:rPr/>
            </w:pPr>
            <w:r>
              <w:rPr>
                <w:rFonts w:ascii="Times New Roman" w:hAnsi="Times New Roman" w:eastAsia="Times New Roman" w:cs="Times New Roman"/>
                <w:color w:val="000000"/>
                <w:sz w:val="24"/>
              </w:rPr>
              <w:t xml:space="preserve">Trịnh Văn Khánh</w:t>
            </w:r>
            <w: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Chức vụ</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lang w:val="pt-BR"/>
              </w:rPr>
            </w:pPr>
            <w:r>
              <w:rPr>
                <w:bCs/>
                <w:color w:val="000000"/>
                <w:lang w:val="pt-BR"/>
              </w:rPr>
              <w:t xml:space="preserve">:</w:t>
            </w:r>
            <w:r>
              <w:rPr>
                <w:bCs/>
                <w:color w:val="000000"/>
                <w:lang w:val="pt-BR"/>
              </w:rPr>
            </w:r>
            <w:r>
              <w:rPr>
                <w:bCs/>
                <w:color w:val="000000"/>
                <w:lang w:val="pt-BR"/>
              </w:rPr>
            </w:r>
          </w:p>
        </w:tc>
        <w:tc>
          <w:tcPr>
            <w:tcBorders/>
            <w:tcW w:w="7951" w:type="dxa"/>
            <w:vAlign w:val="center"/>
            <w:textDirection w:val="lrTb"/>
            <w:noWrap w:val="false"/>
          </w:tcPr>
          <w:p>
            <w:pPr>
              <w:pBdr/>
              <w:spacing w:after="40" w:before="40" w:line="276" w:lineRule="auto"/>
              <w:ind/>
              <w:jc w:val="both"/>
              <w:rPr>
                <w:color w:val="000000" w:themeColor="text1"/>
                <w:lang w:val="vi-VN"/>
              </w:rPr>
            </w:pPr>
            <w:r>
              <w:rPr>
                <w:color w:val="000000" w:themeColor="text1"/>
                <w:lang w:val="vi-VN"/>
              </w:rPr>
              <w:t xml:space="preserve">Giám đốc</w:t>
            </w:r>
            <w:r>
              <w:rPr>
                <w:color w:val="000000" w:themeColor="text1"/>
                <w:lang w:val="vi-VN"/>
              </w:rPr>
            </w:r>
            <w:r>
              <w:rPr>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line="276" w:lineRule="auto"/>
        <w:ind w:right="0" w:firstLine="0" w:left="360"/>
        <w:jc w:val="both"/>
        <w:rPr>
          <w:rFonts w:ascii="Times New Roman" w:hAnsi="Times New Roman" w:eastAsia="Times New Roman" w:cs="Times New Roman"/>
          <w:color w:val="000000"/>
          <w:sz w:val="24"/>
          <w:szCs w:val="24"/>
          <w:highlight w:val="none"/>
        </w:rPr>
      </w:pPr>
      <w:r>
        <w:rPr>
          <w:b/>
          <w:bCs/>
        </w:rPr>
        <w:t xml:space="preserve">Tài sản 1:</w:t>
      </w:r>
      <w:r>
        <w:rPr>
          <w:bCs/>
        </w:rPr>
        <w:t xml:space="preserve"> </w:t>
      </w:r>
      <w:r>
        <w:rPr>
          <w:bCs/>
          <w:color w:val="000000"/>
          <w:spacing w:val="-6"/>
        </w:rPr>
      </w:r>
      <w:r>
        <w:rPr>
          <w:rFonts w:ascii="Times New Roman" w:hAnsi="Times New Roman" w:eastAsia="Times New Roman" w:cs="Times New Roman"/>
          <w:color w:val="000000"/>
          <w:sz w:val="24"/>
        </w:rPr>
        <w:t xml:space="preserve">Quyền sở hữu căn hộ 706 (đơn nguyên A) tầng 7, Nhà 4F khu đô thị Trung Yên, phường Yên Hoà, quận Cầu Giấy, thành phố Hà Nội (Nay là phường Cầu Giấy, thành phố Hà Nội) theo Giấy chứng nhận quyền sử dụng đất, quyền sở hữu nhà ở và tài sản gắn liền với đất số</w:t>
      </w:r>
      <w:r>
        <w:rPr>
          <w:rFonts w:ascii="Times New Roman" w:hAnsi="Times New Roman" w:eastAsia="Times New Roman" w:cs="Times New Roman"/>
          <w:color w:val="000000"/>
          <w:sz w:val="24"/>
        </w:rPr>
        <w:t xml:space="preserve"> BD 142301, số vào sổ cấp GCN: CH 2575/</w:t>
      </w:r>
      <w:r>
        <w:rPr>
          <w:rFonts w:ascii="Cambria Math" w:hAnsi="Cambria Math" w:eastAsia="Cambria Math" w:cs="Cambria Math"/>
          <w:color w:val="000000"/>
          <w:sz w:val="24"/>
        </w:rPr>
        <w:t xml:space="preserve">𝑄</w:t>
      </w:r>
      <w:r>
        <w:rPr>
          <w:rFonts w:ascii="Times New Roman" w:hAnsi="Times New Roman" w:eastAsia="Times New Roman" w:cs="Times New Roman"/>
          <w:color w:val="000000"/>
          <w:sz w:val="24"/>
        </w:rPr>
        <w:t xml:space="preserve">Đ−</w:t>
      </w:r>
      <w:r>
        <w:rPr>
          <w:rFonts w:ascii="Cambria Math" w:hAnsi="Cambria Math" w:eastAsia="Cambria Math" w:cs="Cambria Math"/>
          <w:color w:val="000000"/>
          <w:sz w:val="24"/>
        </w:rPr>
        <w:t xml:space="preserve">𝑈𝐵𝑁𝐷</w:t>
      </w:r>
      <w:r>
        <w:rPr>
          <w:rFonts w:ascii="Times New Roman" w:hAnsi="Times New Roman" w:eastAsia="Times New Roman" w:cs="Times New Roman"/>
          <w:color w:val="000000"/>
          <w:sz w:val="24"/>
        </w:rPr>
        <w:t xml:space="preserve">/2010/631 do UBND quận Cầu Giấy cấp ngày 23/08/2010; Chủ sở hữu căn hộ là Bà Nguyễn Thị Thanh Huyền.</w:t>
      </w:r>
      <w:r>
        <w:rPr>
          <w:sz w:val="22"/>
        </w:rPr>
      </w:r>
    </w:p>
    <w:p>
      <w:pPr>
        <w:pBdr>
          <w:top w:val="none" w:color="000000" w:sz="4" w:space="0"/>
          <w:left w:val="none" w:color="000000" w:sz="4" w:space="0"/>
          <w:bottom w:val="none" w:color="000000" w:sz="4" w:space="0"/>
          <w:right w:val="none" w:color="000000" w:sz="4" w:space="0"/>
        </w:pBdr>
        <w:spacing w:line="276" w:lineRule="auto"/>
        <w:ind w:right="0" w:firstLine="0" w:left="360"/>
        <w:jc w:val="both"/>
        <w:rPr>
          <w:b/>
          <w:bCs/>
          <w:sz w:val="22"/>
          <w:szCs w:val="22"/>
        </w:rPr>
      </w:pPr>
      <w:r>
        <w:rPr>
          <w:rFonts w:ascii="Times New Roman" w:hAnsi="Times New Roman" w:eastAsia="Times New Roman" w:cs="Times New Roman"/>
          <w:b/>
          <w:bCs/>
          <w:color w:val="000000"/>
          <w:sz w:val="24"/>
          <w:highlight w:val="none"/>
        </w:rPr>
        <w:t xml:space="preserve">Tài sản 2:</w:t>
      </w:r>
      <w:r>
        <w:rPr>
          <w:rFonts w:ascii="Times New Roman" w:hAnsi="Times New Roman" w:eastAsia="Times New Roman" w:cs="Times New Roman"/>
          <w:b/>
          <w:bCs/>
          <w:color w:val="000000"/>
          <w:sz w:val="24"/>
          <w:highlight w:val="none"/>
        </w:rPr>
        <w:t xml:space="preserve"> </w:t>
      </w:r>
      <w:r>
        <w:rPr>
          <w:color w:val="000000" w:themeColor="text1"/>
        </w:rPr>
        <w:t xml:space="preserve">Quyền sử dụng đất tại thửa đất số: 90, tờ bản đồ số 16, có địa chỉ: Thôn Phú Đa, </w:t>
      </w:r>
      <w:r>
        <w:rPr>
          <w:color w:val="000000" w:themeColor="text1"/>
        </w:rPr>
        <w:t xml:space="preserve">Xã Cần Kiệm, Huyện Thạch Thất, Tỉnh Hà Tây (nay là Xã Hạ Bằng, thành phố Hà Nội), theo Giấy chứng nhận quyền sử dụng đất số: AH 835918, số vào sổ cấp GCN:  H.01487 do Ủy ban nhân dân huyện Thạch Thất cấp ngày 2/8/2007; Chủ tài sản là bà :Thái Thị Mai Hương</w:t>
      </w:r>
      <w:r>
        <w:rPr>
          <w:i/>
          <w:iCs/>
        </w:rPr>
        <w:t xml:space="preserve">.</w:t>
      </w:r>
      <w:r/>
      <w:r>
        <w:rPr>
          <w:rFonts w:ascii="Times New Roman" w:hAnsi="Times New Roman" w:eastAsia="Times New Roman" w:cs="Times New Roman"/>
          <w:b/>
          <w:bCs/>
          <w:color w:val="000000"/>
          <w:sz w:val="24"/>
          <w:highlight w:val="none"/>
        </w:rPr>
      </w:r>
      <w:r>
        <w:rPr>
          <w:rFonts w:ascii="Times New Roman" w:hAnsi="Times New Roman" w:eastAsia="Times New Roman" w:cs="Times New Roman"/>
          <w:b/>
          <w:bCs/>
          <w:color w:val="000000"/>
          <w:sz w:val="24"/>
          <w:highlight w:val="none"/>
        </w:rPr>
      </w:r>
      <w:r>
        <w:rPr>
          <w:bCs/>
        </w:rPr>
      </w:r>
      <w:r>
        <w:rPr>
          <w:bCs/>
          <w:color w:val="000000"/>
          <w:spacing w:val="-6"/>
        </w:rPr>
      </w:r>
      <w:r/>
      <w:r>
        <w:rPr>
          <w:b/>
          <w:bCs/>
          <w:sz w:val="22"/>
          <w:szCs w:val="22"/>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7.870.370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629.630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8.500.000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năm trăm nghìn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top w:val="none" w:color="000000" w:sz="4" w:space="0"/>
                <w:left w:val="none" w:color="000000" w:sz="4" w:space="0"/>
                <w:bottom w:val="none" w:color="000000" w:sz="4" w:space="0"/>
                <w:right w:val="none" w:color="000000" w:sz="4" w:space="0"/>
              </w:pBdr>
              <w:spacing w:line="235" w:lineRule="atLeast"/>
              <w:ind w:right="0" w:firstLine="0" w:left="0"/>
              <w:jc w:val="center"/>
              <w:rPr>
                <w:b/>
                <w:bCs/>
              </w:rPr>
            </w:pPr>
            <w:r>
              <w:rPr>
                <w:rFonts w:ascii="Times New Roman" w:hAnsi="Times New Roman" w:eastAsia="Times New Roman" w:cs="Times New Roman"/>
                <w:b/>
                <w:bCs/>
                <w:color w:val="000000"/>
                <w:sz w:val="24"/>
              </w:rPr>
              <w:t xml:space="preserve">Trịnh Văn Khánh</w:t>
            </w:r>
            <w:r>
              <w:rPr>
                <w:b/>
                <w:bCs/>
              </w:rPr>
            </w:r>
            <w:r>
              <w:rPr>
                <w:b/>
                <w:bCs/>
              </w:rPr>
            </w:r>
            <w:r>
              <w:rPr>
                <w:b/>
                <w:bCs/>
                <w:color w:val="000000" w:themeColor="text1"/>
              </w:rPr>
            </w:r>
            <w:r>
              <w:rPr>
                <w:b/>
                <w:bCs/>
                <w:color w:val="000000" w:themeColor="text1"/>
              </w:rPr>
            </w:r>
            <w:r>
              <w:rPr>
                <w:b/>
                <w:bCs/>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i/>
                <w:color w:val="000000" w:themeColor="text1"/>
              </w:rPr>
            </w:r>
            <w:r>
              <w:rPr>
                <w:b/>
                <w:bCs/>
                <w:i/>
                <w:color w:val="000000" w:themeColor="text1"/>
              </w:rPr>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2026-07-16T02:18:09Z</dcterms:modified>
</cp:coreProperties>
</file>