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color w:val="000000" w:themeColor="text1"/>
                <w:spacing w:val="-4"/>
                <w:lang w:val="vi-VN"/>
              </w:rPr>
              <w:t xml:space="preserve">275/2026/0944/VFI-HĐTĐ.44.A</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18 tháng 6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rPr>
                <w:rFonts w:ascii="Times New Roman" w:hAnsi="Times New Roman" w:cs="Times New Roman"/>
                <w:b/>
                <w:bCs/>
                <w:sz w:val="24"/>
                <w:szCs w:val="24"/>
              </w:rPr>
            </w:pPr>
            <w:r>
              <w:rPr>
                <w:rFonts w:ascii="Times New Roman" w:hAnsi="Times New Roman" w:eastAsia="Times New Roman" w:cs="Times New Roman"/>
                <w:b/>
                <w:bCs/>
                <w:color w:val="081b3a"/>
                <w:spacing w:val="3"/>
                <w:sz w:val="24"/>
                <w:szCs w:val="24"/>
                <w:highlight w:val="white"/>
              </w:rPr>
              <w:t xml:space="preserve">CÔNG TY TNHH DU LỊCH VÀ TM SÔNG HỒNG</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tc>
      </w:tr>
      <w:tr>
        <w:trPr>
          <w:trHeight w:val="20"/>
        </w:trPr>
        <w:tc>
          <w:tcPr>
            <w:tcBorders/>
            <w:tcW w:w="1505" w:type="dxa"/>
            <w:vAlign w:val="center"/>
            <w:vMerge w:val="restart"/>
            <w:textDirection w:val="lrTb"/>
            <w:noWrap w:val="false"/>
          </w:tcPr>
          <w:p>
            <w:pPr>
              <w:pBdr/>
              <w:spacing w:after="40" w:before="40" w:line="288" w:lineRule="auto"/>
              <w:ind w:right="-9"/>
              <w:contextualSpacing w:val="true"/>
              <w:rPr/>
            </w:pPr>
            <w:r>
              <w:t xml:space="preserve">Mã số thuế</w:t>
            </w:r>
            <w:r/>
          </w:p>
        </w:tc>
        <w:tc>
          <w:tcPr>
            <w:tcBorders/>
            <w:tcW w:w="270" w:type="dxa"/>
            <w:vAlign w:val="center"/>
            <w:vMerge w:val="restart"/>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rPr>
                <w:rFonts w:ascii="Times New Roman" w:hAnsi="Times New Roman" w:cs="Times New Roman"/>
                <w:b/>
                <w:bCs/>
                <w:color w:val="081b3a"/>
                <w:spacing w:val="3"/>
                <w:sz w:val="24"/>
                <w:szCs w:val="24"/>
                <w:highlight w:val="white"/>
              </w:rPr>
            </w:pPr>
            <w:r>
              <w:rPr>
                <w:rFonts w:ascii="Times New Roman" w:hAnsi="Times New Roman" w:eastAsia="Times New Roman" w:cs="Times New Roman"/>
                <w:b/>
                <w:bCs/>
                <w:color w:val="081b3a"/>
                <w:spacing w:val="3"/>
                <w:sz w:val="24"/>
                <w:szCs w:val="24"/>
                <w:highlight w:val="white"/>
              </w:rPr>
            </w:r>
            <w:r>
              <w:rPr>
                <w:rFonts w:ascii="Times New Roman" w:hAnsi="Times New Roman" w:eastAsia="Times New Roman" w:cs="Times New Roman"/>
                <w:color w:val="081b3a"/>
                <w:spacing w:val="3"/>
                <w:sz w:val="24"/>
                <w:szCs w:val="24"/>
                <w:highlight w:val="white"/>
              </w:rPr>
              <w:t xml:space="preserve">0100237411</w:t>
            </w:r>
            <w:r>
              <w:rPr>
                <w:rFonts w:ascii="Times New Roman" w:hAnsi="Times New Roman" w:eastAsia="Times New Roman" w:cs="Times New Roman"/>
                <w:b/>
                <w:bCs/>
                <w:color w:val="081b3a"/>
                <w:spacing w:val="3"/>
                <w:sz w:val="24"/>
                <w:szCs w:val="24"/>
                <w:highlight w:val="white"/>
              </w:rPr>
            </w:r>
            <w:r>
              <w:rPr>
                <w:rFonts w:ascii="Times New Roman" w:hAnsi="Times New Roman" w:eastAsia="Times New Roman" w:cs="Times New Roman"/>
                <w:b/>
                <w:bCs/>
                <w:color w:val="081b3a"/>
                <w:spacing w:val="3"/>
                <w:sz w:val="24"/>
                <w:szCs w:val="24"/>
                <w:highlight w:val="white"/>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có địa chỉ: 22 phố Trần Nhật Duật, phường Đồng Xuân, quận Hoàn Kiếm, thành phố Hà Nội (nay là phường</w:t>
      </w:r>
      <w:r>
        <w:rPr>
          <w:color w:val="000000" w:themeColor="text1"/>
        </w:rPr>
        <w:t xml:space="preserve"> Hoàn Kiếm, thành phố Hà Nội) theo Giấy chứng nhận quyền sử dụng đất, quyền sở hữu nhà ở và tài sản khác gắn liền với đất số: CC 263730, số vào sổ cấp GCN: CSHK 00083 do Sở tài nguyên và môi trường thành phố Hà Nội cấp ngày 17/12/2015 cho Ông Lê Công Hoàng</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23.148.148</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1.851.852</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mươi lăm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85</cp:revision>
  <dcterms:created xsi:type="dcterms:W3CDTF">2025-09-08T09:51:00Z</dcterms:created>
  <dcterms:modified xsi:type="dcterms:W3CDTF">2026-07-01T08:28:10Z</dcterms:modified>
</cp:coreProperties>
</file>