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275/2026/1006/VFI-HĐTĐ.53.A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b/>
                <w:color w:val="000000"/>
                <w:sz w:val="24"/>
              </w:rPr>
              <w:t xml:space="preserve">BÀ BÙI THỊ BÍCH THUỶ</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1967</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030167011924 </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Bắc Mã 2, Bình Dương, thị xã Đông Triều, tỉnh Quảng Ninh ( Nay là Phường An Sinh, tỉnh Quảng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1967</w:t>
            </w: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030167011924 </w:t>
            </w: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Bắc Mã 2, Bình Dương, thị xã Đông Triều, tỉnh Quảng Ninh ( Nay là Phường An Sinh, tỉnh Quảng Ninh)</w:t>
            </w: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có địa chỉ: Ô số 29 - lô 4 Khu đô thị mới (phần GĐ1) đầu đường Tuần Châu, phường Hà Khẩu, thành phố Hạ Long, tỉnh Quảng Ninh (Nay là phường Việt Hưng, tinh Quảng Ninh) theo Giấy chứng nhận quyền sử dụng đất quyền sở hữu nhà ở</w:t>
      </w:r>
      <w:r>
        <w:rPr>
          <w:rFonts w:ascii="Times New Roman" w:hAnsi="Times New Roman" w:eastAsia="Times New Roman" w:cs="Times New Roman"/>
          <w:color w:val="000000"/>
          <w:sz w:val="24"/>
        </w:rPr>
        <w:t xml:space="preserve"> và tài sản khác gắn liền với đất số: BM 091382, số vào sổ cấp GCN: CH 02600 do UBND thành phố Hạ Long cấp ngày 23/8/2013; Chủ sử dụng đất là Bà Bùi Thị Bích Thuỷ (Bùi Thị Thuỷ).</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2026-07-15T08:42:45Z</dcterms:modified>
</cp:coreProperties>
</file>