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lang w:val="vi-VN"/>
              </w:rPr>
            </w:r>
            <w:r>
              <w:rPr>
                <w:color w:val="000000" w:themeColor="text1"/>
                <w:spacing w:val="-4"/>
                <w:lang w:val="vi-VN"/>
              </w:rPr>
              <w:t xml:space="preserve">275/2026/0919/VFI-HĐTĐ.53.A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VI VĂN QUYẾT</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highlight w:val="none"/>
              </w:rPr>
              <w:t xml:space="preserve">001094036312</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Xã Thanh Oai, Thành phố Hà Nội</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134, tờ bản đồ số: 48 có địa chỉ:</w:t>
      </w:r>
      <w:r>
        <w:rPr>
          <w:color w:val="000000" w:themeColor="text1"/>
        </w:rPr>
        <w:t xml:space="preserve"> Thôn Kim Lâm, Xã Thanh Oai, thành phố Hà Nội theo Giấy chứng nhận quyền sử dụng dất, quyền sở hữu tài sản gắn liền với đất số: AA 06694222 , số vào sổ cấp GCN: CN 01372 do Chi nhánh Văn phòng Đăng ký đất đai Hà Nội cấp ngày 11/03/2026 cho Ông Vi Văn Quyết</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2026-06-25T12:00:06Z</dcterms:modified>
</cp:coreProperties>
</file>