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275/2026/0948/VFI-HĐTĐ.48.A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r>
            <w:r>
              <w:rPr>
                <w:rFonts w:ascii="Times New Roman Bold" w:hAnsi="Times New Roman Bold"/>
                <w:b/>
                <w:color w:val="000000" w:themeColor="text1"/>
                <w:lang w:val="pt-BR"/>
              </w:rPr>
              <w:t xml:space="preserve">ÔNG NGUYỄN HỒNG SƠN</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015097005859</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203, tờ bản đồ số: 14 có địa chỉ: Số 9 ngõ 178 phố Chợ Khâm Thiên, phường Văn Miếu - Quốc Tử Giám, thành phố Hà Nội theo Giấy chứng nhận</w:t>
      </w:r>
      <w:r>
        <w:rPr>
          <w:color w:val="000000" w:themeColor="text1"/>
        </w:rPr>
        <w:t xml:space="preserve"> quyền sử dụng đất, quyền sở hữu tài sản gắn liền với đất số: AA 05613886, số vào sổ cấp Giấy chứng nhận: CN8239 do Chi nhánh văn phòng đăng ký đất đai Khu vực Ba Đình - Hoàn Kiếm - Đống Đa  cấp ngày 05/05/2026 cho Ông Nguyễn Hồng Sơn và vợ Nguyễn Minh Hoa</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2026-06-26T01:40:21Z</dcterms:modified>
</cp:coreProperties>
</file>