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spacing w:val="-4"/>
                <w:lang w:val="vi-VN"/>
              </w:rPr>
            </w:r>
            <w:r>
              <w:rPr>
                <w:color w:val="000000" w:themeColor="text1"/>
                <w:spacing w:val="-4"/>
                <w:lang w:val="vi-VN"/>
              </w:rPr>
              <w:t xml:space="preserve">275/2026/0804/VFI-HĐTĐ.53.A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BÊN A</w:t>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ind/>
              <w:rPr/>
            </w:pPr>
            <w:r>
              <w:rPr>
                <w:b/>
                <w:bCs/>
              </w:rPr>
              <w:t xml:space="preserve">CÔNG TY TNHH TÀI NGUYÊN</w:t>
            </w:r>
            <w: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MST/CMTND/CCCD:</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r>
            <w:r>
              <w:t xml:space="preserve">0900362186</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Địa chỉ</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r>
            <w:r>
              <w:t xml:space="preserve">Số 15 Phố Nối, TT Bần Yên Nhân, huyện Mỹ Hào, tỉnh Hưng Yên ( nay là Phường Mỹ Hào, tỉnh Hưng Yên)</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40" w:before="40" w:line="288" w:lineRule="auto"/>
        <w:ind/>
        <w:jc w:val="both"/>
        <w:rPr>
          <w:b w:val="0"/>
          <w:bCs w:val="0"/>
        </w:rPr>
      </w:pPr>
      <w:r>
        <w:rPr>
          <w:b w:val="0"/>
          <w:bCs w:val="0"/>
          <w:color w:val="000000"/>
        </w:rPr>
        <w:t xml:space="preserve">Quyền tài sản phát sinh từ quyền thuê lại lô đất có diện tích 25.000m² tại địa chỉ: Lô CC1.7, Khu công nghiệp MP Đình Vũ, phường Đông Hải 2, quận Hải An, thuộc Khu kinh tế Đình Vũ - Cát Hải, TP Hải Phòng (nay là </w:t>
      </w:r>
      <w:r>
        <w:rPr>
          <w:b w:val="0"/>
          <w:bCs w:val="0"/>
          <w:color w:val="000000"/>
        </w:rPr>
        <w:t xml:space="preserve">phường Đông Hải, Tỉnh Hải Phòng)theo Giấy chứng nhận quyền sử dụng đất quyền sở hữu nhà ở và tài sản khác gắn liền với đất số: CD 688804, số vào sổ cấp GCN: CT 05605 do Sở Tài nguyên và Môi trường TP Hải Phòng cấp ngày 07/7/2016 cho Công ty TNHH Tài Nguyên</w:t>
      </w:r>
      <w:r>
        <w:rPr>
          <w:b w:val="0"/>
          <w:bCs w:val="0"/>
        </w:rPr>
        <w:t xml:space="preserve">.</w:t>
      </w:r>
      <w:r>
        <w:rPr>
          <w:b w:val="0"/>
          <w:bCs w:val="0"/>
          <w:color w:val="000000"/>
          <w:spacing w:val="-6"/>
        </w:rPr>
      </w:r>
      <w:r>
        <w:rPr>
          <w:b w:val="0"/>
          <w:bCs w:val="0"/>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b/>
                <w:color w:val="000000" w:themeColor="text1"/>
                <w:sz w:val="24"/>
                <w:szCs w:val="24"/>
                <w:highlight w:val="white"/>
              </w:rPr>
              <w:t xml:space="preserve">12.037.037</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962.963</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i/>
                <w:iCs/>
                <w:color w:val="000000" w:themeColor="text1"/>
                <w:sz w:val="24"/>
                <w:szCs w:val="24"/>
                <w:highlight w:val="white"/>
              </w:rPr>
            </w:pPr>
            <w:r>
              <w:rPr>
                <w:rFonts w:ascii="Times New Roman" w:hAnsi="Times New Roman" w:eastAsia="Times New Roman" w:cs="Times New Roman"/>
                <w:b/>
                <w:color w:val="000000" w:themeColor="text1"/>
                <w:sz w:val="24"/>
                <w:szCs w:val="24"/>
                <w:highlight w:val="white"/>
              </w:rPr>
            </w:r>
            <w:r>
              <w:rPr>
                <w:rFonts w:ascii="Times New Roman" w:hAnsi="Times New Roman" w:eastAsia="Times New Roman" w:cs="Times New Roman"/>
                <w:b/>
                <w:color w:val="000000" w:themeColor="text1"/>
                <w:sz w:val="24"/>
                <w:szCs w:val="24"/>
                <w:highlight w:val="white"/>
              </w:rPr>
              <w:t xml:space="preserve">13.000.000</w:t>
            </w:r>
            <w:r>
              <w:rPr>
                <w:rFonts w:ascii="Times New Roman" w:hAnsi="Times New Roman" w:eastAsia="Times New Roman" w:cs="Times New Roman"/>
                <w:b/>
                <w:color w:val="000000" w:themeColor="text1"/>
                <w:sz w:val="24"/>
                <w:szCs w:val="24"/>
                <w:highlight w:val="white"/>
              </w:rPr>
            </w:r>
            <w:r>
              <w:rPr>
                <w:rFonts w:ascii="Times New Roman" w:hAnsi="Times New Roman" w:eastAsia="Times New Roman" w:cs="Times New Roman"/>
                <w:b/>
                <w:bCs/>
                <w:i/>
                <w:iCs/>
                <w:color w:val="000000" w:themeColor="text1"/>
                <w:sz w:val="24"/>
                <w:szCs w:val="24"/>
                <w:highlight w:val="white"/>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ba triệu đồng chẵn</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84</cp:revision>
  <dcterms:created xsi:type="dcterms:W3CDTF">2025-09-08T09:51:00Z</dcterms:created>
  <dcterms:modified xsi:type="dcterms:W3CDTF">2026-06-15T03:41:58Z</dcterms:modified>
</cp:coreProperties>
</file>