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pacing w:line="235" w:lineRule="atLeast"/>
              <w:ind w:right="0" w:firstLine="0" w:left="0"/>
              <w:jc w:val="both"/>
              <w:rPr/>
            </w:pPr>
            <w:r>
              <w:rPr>
                <w:i/>
                <w:color w:val="000000" w:themeColor="text1"/>
              </w:rPr>
              <w:t xml:space="preserve">Số: </w:t>
            </w:r>
            <w:r>
              <w:rPr>
                <w:color w:val="000000" w:themeColor="text1"/>
              </w:rPr>
            </w:r>
            <w:r>
              <w:rPr>
                <w:rFonts w:ascii="Times New Roman" w:hAnsi="Times New Roman" w:eastAsia="Times New Roman" w:cs="Times New Roman"/>
                <w:i/>
                <w:iCs/>
                <w:color w:val="000000"/>
                <w:spacing w:val="3"/>
                <w:sz w:val="24"/>
                <w:highlight w:val="white"/>
              </w:rPr>
              <w:t xml:space="preserve">275/2026/1001/VFI-HĐTĐ.65.A</w:t>
            </w:r>
            <w:r>
              <w:rPr>
                <w:rFonts w:ascii="Times New Roman" w:hAnsi="Times New Roman" w:eastAsia="Times New Roman" w:cs="Times New Roman"/>
                <w:color w:val="000000"/>
                <w:spacing w:val="3"/>
                <w:sz w:val="24"/>
                <w:highlight w:val="white"/>
              </w:rPr>
              <w:t xml:space="preserve"> </w:t>
            </w:r>
            <w:r/>
            <w:r>
              <w:rPr>
                <w:color w:val="000000" w:themeColor="text1"/>
              </w:rPr>
            </w:r>
            <w:r/>
            <w:r>
              <w:rPr>
                <w:sz w:val="22"/>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Thương Mại và Dịch Vụ The City Việt Nam</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tabs>
                <w:tab w:val="center" w:leader="none" w:pos="639"/>
              </w:tabs>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abs>
                <w:tab w:val="left" w:leader="none" w:pos="2543"/>
              </w:tabs>
              <w:spacing w:after="40" w:before="40" w:line="288" w:lineRule="auto"/>
              <w:ind/>
              <w:contextualSpacing w:val="true"/>
              <w:rPr>
                <w:bCs/>
                <w:color w:val="000000" w:themeColor="text1"/>
                <w:lang w:val="vi-VN"/>
              </w:rPr>
            </w:pPr>
            <w:r>
              <w:rPr>
                <w:color w:val="000000" w:themeColor="text1"/>
              </w:rPr>
              <w:t xml:space="preserve">0110087733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Tầng 12, Tòa nhà Licogi 13, Số 164 Khuất Duy Tiến, Phường Thanh Xuân, Thành phố Hà Nội, Việt Nam</w:t>
            </w:r>
            <w:r>
              <w:rPr>
                <w:bCs/>
                <w:color w:val="000000" w:themeColor="text1"/>
              </w:rPr>
            </w:r>
            <w:r>
              <w:rPr>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left"/>
              <w:rPr>
                <w:bCs/>
                <w:color w:val="000000" w:themeColor="text1"/>
                <w:lang w:val="pt-BR"/>
              </w:rPr>
            </w:pPr>
            <w:r>
              <w:rPr>
                <w:bCs/>
                <w:color w:val="000000" w:themeColor="text1"/>
                <w:lang w:val="pt-BR"/>
              </w:rPr>
              <w:t xml:space="preserve">Đại diện pháp luật</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Chu Tiến Tùng</w:t>
            </w:r>
            <w:r>
              <w:rPr>
                <w:b w:val="0"/>
                <w:bCs w:val="0"/>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danh</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val="0"/>
                <w:bCs w:val="0"/>
                <w:color w:val="000000" w:themeColor="text1"/>
              </w:rPr>
            </w:pPr>
            <w:r>
              <w:rPr>
                <w:b w:val="0"/>
                <w:bCs w:val="0"/>
                <w:color w:val="000000" w:themeColor="text1"/>
              </w:rPr>
              <w:t xml:space="preserve">Giám đốc</w:t>
            </w:r>
            <w:r>
              <w:rPr>
                <w:b w:val="0"/>
                <w:bCs w:val="0"/>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203, tờ bản đồ số 04, có địa chỉ: Số 44 Phố Hoàng Diệu, Phường Quang Trung, Thị xã Sơn Tây, thành phố Hà Nội (nay là phường Sơn Tây, thành phố Hà Nội) theo Giấy chứng nhận quyền sử dụng đất quyền sở hữu nhà ở và tài sản k</w:t>
      </w:r>
      <w:r>
        <w:rPr>
          <w:rFonts w:ascii="Times New Roman" w:hAnsi="Times New Roman" w:eastAsia="Times New Roman" w:cs="Times New Roman"/>
          <w:color w:val="000000"/>
          <w:sz w:val="24"/>
        </w:rPr>
        <w:t xml:space="preserve">hác gắn liền với đất số: BO 945193 vào sổ cấp GCN: CH 00127 do Ủy ban nhân dân thị xã Sơn Tây cấp ngày 12/12/2014; Chủ tài sản là bà Nguyễn Thị Lan, bà Phan Lan Chi, bà Phan Khánh Linh và bà Phan Ngọc Hà</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Chu Tiến Tùng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2026-07-03T09:40:49Z</dcterms:modified>
</cp:coreProperties>
</file>