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color w:val="000000" w:themeColor="text1"/>
                <w:lang w:val="pt-BR"/>
              </w:rPr>
              <w:t xml:space="preserve">275/2026/0782/VFI-HĐTĐ.65.A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5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76" w:lineRule="auto"/>
              <w:ind/>
              <w:jc w:val="both"/>
              <w:rPr>
                <w:b/>
                <w:bCs/>
                <w:color w:val="000000" w:themeColor="text1"/>
                <w:sz w:val="28"/>
                <w:szCs w:val="28"/>
                <w:u w:val="single"/>
              </w:rPr>
            </w:pPr>
            <w:r>
              <w:rPr>
                <w:b/>
                <w:bCs/>
                <w:color w:val="000000" w:themeColor="text1"/>
                <w:sz w:val="28"/>
                <w:szCs w:val="28"/>
                <w:u w:val="single"/>
                <w:lang w:val="pt-BR"/>
              </w:rPr>
              <w:t xml:space="preserve">Bên A</w:t>
            </w:r>
            <w:r>
              <w:rPr>
                <w:b/>
                <w:bCs/>
                <w:color w:val="000000" w:themeColor="text1"/>
                <w:sz w:val="28"/>
                <w:szCs w:val="28"/>
                <w:u w:val="single"/>
                <w:lang w:val="pt-BR"/>
              </w:rP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ind/>
              <w:rPr>
                <w:b/>
                <w:bCs/>
              </w:rPr>
            </w:pPr>
            <w:r>
              <w:rPr>
                <w:b/>
                <w:bCs/>
              </w:rPr>
            </w:r>
            <w:r>
              <w:rPr>
                <w:b/>
                <w:bCs/>
                <w:color w:val="000000" w:themeColor="text1"/>
                <w:spacing w:val="-4"/>
              </w:rPr>
              <w:t xml:space="preserve">Công ty Cổ phần Thành Đồng</w:t>
            </w:r>
            <w:r>
              <w:rPr>
                <w:b/>
                <w:bCs/>
              </w:rPr>
            </w:r>
            <w:r>
              <w:rPr>
                <w:b/>
                <w:bCs/>
              </w:rPr>
            </w:r>
          </w:p>
        </w:tc>
      </w:tr>
      <w:tr>
        <w:trPr>
          <w:trHeight w:val="20"/>
        </w:trPr>
        <w:tc>
          <w:tcPr>
            <w:tcBorders/>
            <w:tcW w:w="1505" w:type="dxa"/>
            <w:vAlign w:val="center"/>
            <w:vMerge w:val="restart"/>
            <w:textDirection w:val="lrTb"/>
            <w:noWrap w:val="false"/>
          </w:tcPr>
          <w:p>
            <w:pPr>
              <w:pBdr/>
              <w:spacing w:after="40" w:before="40" w:line="276" w:lineRule="auto"/>
              <w:ind/>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MST</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vMerge w:val="restart"/>
            <w:textDirection w:val="lrTb"/>
            <w:noWrap w:val="false"/>
          </w:tcPr>
          <w:p>
            <w:pPr>
              <w:pBdr/>
              <w:spacing w:after="40" w:before="40" w:line="276" w:lineRule="auto"/>
              <w:ind/>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vMerge w:val="restart"/>
            <w:textDirection w:val="lrTb"/>
            <w:noWrap w:val="false"/>
          </w:tcPr>
          <w:p>
            <w:pPr>
              <w:pBdr/>
              <w:spacing w:after="40" w:before="40" w:line="276"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2"/>
                <w:sz w:val="24"/>
                <w:szCs w:val="24"/>
                <w:highlight w:val="white"/>
              </w:rPr>
              <w:t xml:space="preserve">5700428488</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76" w:lineRule="auto"/>
              <w:ind/>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Địa chỉ</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pPr>
              <w:pBdr/>
              <w:spacing w:after="40" w:before="40" w:line="276" w:lineRule="auto"/>
              <w:ind/>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pPr>
              <w:pBdr/>
              <w:spacing w:after="40" w:before="40" w:line="276"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2"/>
                <w:sz w:val="24"/>
                <w:szCs w:val="24"/>
                <w:highlight w:val="white"/>
              </w:rPr>
              <w:t xml:space="preserve">Khu Bình Sơn Tây, Phường An Sinh, Tỉnh Quảng Ninh, Việt Nam</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Đại diện </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Đoàn Văn Tuyết</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lang w:val="pt-BR"/>
              </w:rPr>
            </w:pPr>
            <w:r>
              <w:rPr>
                <w:bCs/>
                <w:color w:val="000000"/>
                <w:lang w:val="pt-BR"/>
              </w:rPr>
              <w:t xml:space="preserve">:</w:t>
            </w:r>
            <w:r>
              <w:rPr>
                <w:bCs/>
                <w:color w:val="000000"/>
                <w:lang w:val="pt-BR"/>
              </w:rPr>
            </w:r>
            <w:r>
              <w:rPr>
                <w:bCs/>
                <w:color w:val="000000"/>
                <w:lang w:val="pt-BR"/>
              </w:rPr>
            </w:r>
          </w:p>
        </w:tc>
        <w:tc>
          <w:tcPr>
            <w:tcBorders/>
            <w:tcW w:w="7951" w:type="dxa"/>
            <w:vAlign w:val="center"/>
            <w:textDirection w:val="lrTb"/>
            <w:noWrap w:val="false"/>
          </w:tcPr>
          <w:p>
            <w:pPr>
              <w:pBdr/>
              <w:spacing w:after="40" w:before="40" w:line="276" w:lineRule="auto"/>
              <w:ind/>
              <w:jc w:val="both"/>
              <w:rPr>
                <w:color w:val="000000" w:themeColor="text1"/>
                <w:lang w:val="vi-VN"/>
              </w:rPr>
            </w:pPr>
            <w:r>
              <w:rPr>
                <w:color w:val="000000" w:themeColor="text1"/>
                <w:lang w:val="vi-VN"/>
              </w:rPr>
              <w:t xml:space="preserve">Chủ tịch Hội đồng quản trị kiêm Tổng Giám đốc</w:t>
            </w:r>
            <w:r>
              <w:rPr>
                <w:color w:val="000000" w:themeColor="text1"/>
                <w:lang w:val="vi-VN"/>
              </w:rPr>
            </w:r>
            <w:r>
              <w:rPr>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bCs/>
          <w:color w:val="000000" w:themeColor="text1"/>
          <w:lang w:val="pt-BR"/>
        </w:rPr>
        <w:t xml:space="preserve">Quyền sử dụng đất tại thửa đất số: -, tờ bản đồ số - có địa chỉ: Ô TD2- 1, Lô OSL-2, Khu Sun Premier Village, phường Bãi Cháy, thành phố Hạ Long, Quảng Ninh (nay là phường Bãi Cháy, tỉnh Qu</w:t>
      </w:r>
      <w:r>
        <w:rPr>
          <w:bCs/>
          <w:color w:val="000000" w:themeColor="text1"/>
          <w:lang w:val="pt-BR"/>
        </w:rPr>
        <w:t xml:space="preserve">ảng Ninh) theo Giấy chứng nhận quyền sử dụng đất quyền sở hữu nhà ở và tài sản khác gắn liền với đất số: CO 037439, số vào sổ cấp GCN: CH37860 do Ủy ban nhân dân thành phố Hạ Long cấp ngày 11/12/2019; Chủ sử dụng đất là Ông: Đoàn văn Tuyết và bà Vũ Thị Huệ</w:t>
      </w: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12.037.037</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962.963</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13.000.000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ba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Đoàn Văn Tuyết</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2476787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85</cp:revision>
  <dcterms:created xsi:type="dcterms:W3CDTF">2025-09-08T09:51:00Z</dcterms:created>
  <dcterms:modified xsi:type="dcterms:W3CDTF">2026-05-29T10:28:53Z</dcterms:modified>
</cp:coreProperties>
</file>