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275/2026/0819/VFI-HĐTĐ.53.A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CÔNG TY TNHH MTV SẢN XUẤT THƯƠNG MẠI DỊCH VỤ XUẤT KHẨU TÍN PHÚ</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3801268702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Lềnh Hắm Và               Chức vụ: Giám đốc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Địa chỉ</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Tổ 5, Khu phố 3, phường Long Phước, Thị xã Phước Long, tỉnh Bình Phước (Nay là Phường Phước Long, tỉnh Đồng Nai)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17, tờ bản đồ số 11 có địa chỉ: Thị trấn Tân Phú, huyện Tân Phú, tỉnh Đồng Nai (Nay là xã Tân Phú, tỉnh Đồng Nai) theo Giấy chứng nhận quyền sử dụng đất, quyền sở hữu nhà ở tài sản khác gắn liền với đất  số: DO 823235, s</w:t>
      </w:r>
      <w:r>
        <w:rPr>
          <w:rFonts w:ascii="Times New Roman" w:hAnsi="Times New Roman" w:eastAsia="Times New Roman" w:cs="Times New Roman"/>
          <w:color w:val="000000"/>
          <w:sz w:val="24"/>
        </w:rPr>
        <w:t xml:space="preserve">ố vào sổ cấp GCN: VP 15298 do Văn phòng Đăng ký đất đai Tỉnh Đồng Nai cấp ngày 27/12/2024; Chủ sử dụng đất là Lềnh Lý Giểng và bà Minh Thị Nhi</w:t>
      </w:r>
      <w:r>
        <w:rPr>
          <w:rFonts w:ascii="Times New Roman" w:hAnsi="Times New Roman" w:eastAsia="Times New Roman" w:cs="Times New Roman"/>
          <w:i/>
          <w:color w:val="000000"/>
          <w:sz w:val="24"/>
        </w:rPr>
        <w:t xml:space="preserve">.</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Times New Roman" w:hAnsi="Times New Roman" w:eastAsia="Times New Roman" w:cs="Times New Roman"/>
          <w:b/>
          <w:color w:val="000000"/>
          <w:sz w:val="24"/>
        </w:rPr>
        <w:t xml:space="preserve">Tài sản 02:</w:t>
      </w:r>
      <w:r>
        <w:rPr>
          <w:rFonts w:ascii="Times New Roman" w:hAnsi="Times New Roman" w:eastAsia="Times New Roman" w:cs="Times New Roman"/>
          <w:color w:val="000000"/>
          <w:sz w:val="24"/>
        </w:rPr>
        <w:t xml:space="preserve"> Quyền sử dụng đất tại thửa đất số: 494, tờ bản đồ số: 44 có địa chỉ: Ấp 4, xã Phú Vinh, huyện Định Quán, tỉnh Đồng Nai (Nay là xã Định Quán, tỉnh Đồng Nai) theo Giấy chứng nhận quyền sử dụng dất, quyền sở hữu nhà ở và tài sản khác gắn liền với đất số: CY </w:t>
      </w:r>
      <w:r>
        <w:rPr>
          <w:rFonts w:ascii="Times New Roman" w:hAnsi="Times New Roman" w:eastAsia="Times New Roman" w:cs="Times New Roman"/>
          <w:color w:val="000000"/>
          <w:sz w:val="24"/>
        </w:rPr>
        <w:t xml:space="preserve">253109, số vào sổ cấp GCN: CS 03716 do Sở Tài nguyên và Môi trường tỉnh Đồng NaI cấp ngày 16/11/2020 cho Bà Lềnh Hắm Lầy</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HSTD-20260511-0018/HĐTĐ-VFI-01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HSTD-20260511-0018/HĐTĐ-VFI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HSTD-20260511-0018/HĐTĐ-VFI-01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HSTD-20260511-0018/HĐTĐ-VFI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HSTD-20260511-0018/HĐTĐ-VFI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HSTD-20260511-0018/HĐTĐ-VFI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HSTD-20260511-0018/HĐTĐ-VFI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HSTD-20260511-0018/HĐTĐ-VFI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2026-06-23T07:35:59Z</dcterms:modified>
</cp:coreProperties>
</file>