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b/>
                <w:color w:val="000000"/>
                <w:sz w:val="24"/>
              </w:rPr>
            </w:r>
            <w:r>
              <w:rPr>
                <w:rFonts w:ascii="Times New Roman" w:hAnsi="Times New Roman" w:eastAsia="Times New Roman" w:cs="Times New Roman"/>
                <w:color w:val="000000"/>
                <w:spacing w:val="-4"/>
                <w:sz w:val="24"/>
              </w:rPr>
              <w:t xml:space="preserve">275/2026/0825/VFI-HĐTĐ.44.A </w:t>
            </w:r>
            <w:r>
              <w:rPr>
                <w:rFonts w:ascii="Times New Roman" w:hAnsi="Times New Roman" w:eastAsia="Times New Roman" w:cs="Times New Roman"/>
                <w:b/>
                <w:color w:val="000000"/>
                <w:sz w:val="24"/>
              </w:rP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Nguyễn Thị Hồng Lan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030180019896</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AA02814372, Số thửa 476, Tờ bản đồ </w:t>
      </w:r>
      <w:r>
        <w:rPr>
          <w:bCs/>
        </w:rPr>
        <w:t xml:space="preserve">17, Địa chỉ trên sổ khu 4 phường Thành Đông thành phố Hải Phòng, Diện tích: Đất ở tại đô thị (197.5 m2) | Tài sản tại: Phường Cẩm Thượng, Thành phố Hải Dương, Tỉnh Hải Dương, độ rộng đường trước mặt tài sản 7m, mặt tiền 5m, 20.950694444444, 106.31822222222</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9.259.259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Lan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HSTD-20260511-0015/HĐTĐ-VFI-01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HSTD-20260511-0015/HĐTĐ-VFI </w:t>
      </w:r>
      <w:r>
        <w:rPr>
          <w:color w:val="000000" w:themeColor="text1"/>
        </w:rPr>
        <w:t xml:space="preserve">đã ký </w:t>
      </w:r>
      <w:r>
        <w:rPr>
          <w:color w:val="000000" w:themeColor="text1"/>
        </w:rPr>
        <w:t xml:space="preserve">ngày 1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Lan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HSTD-20260511-0015/HĐTĐ-VFI-01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HSTD-20260511-0015/HĐTĐ-VFI </w:t>
      </w:r>
      <w:r>
        <w:rPr>
          <w:i/>
          <w:iCs/>
          <w:color w:val="000000" w:themeColor="text1"/>
        </w:rPr>
        <w:t xml:space="preserve">,</w:t>
      </w:r>
      <w:r>
        <w:rPr>
          <w:i/>
          <w:iCs/>
          <w:color w:val="000000" w:themeColor="text1"/>
        </w:rPr>
        <w:t xml:space="preserve">ngày 1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HSTD-20260511-0015/HĐTĐ-VFI đã ký ngày 1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HSTD-20260511-0015/HĐTĐ-VFI đã ký ngày 1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HSTD-20260511-0015/HĐTĐ-VFI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HSTD-20260511-0015/HĐTĐ-VFI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Lan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2026-06-02T04:01:51Z</dcterms:modified>
</cp:coreProperties>
</file>