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814"/>
        <w:tblInd w:w="108"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131"/>
        <w:gridCol w:w="8503"/>
      </w:tblGrid>
      <w:tr>
        <w:trPr>
          <w:trHeight w:val="898"/>
        </w:trPr>
        <w:tc>
          <w:tcPr>
            <w:gridSpan w:val="2"/>
            <w:tcBorders/>
            <w:tcMar>
              <w:left w:w="108" w:type="dxa"/>
              <w:top w:w="0" w:type="dxa"/>
              <w:right w:w="108" w:type="dxa"/>
              <w:bottom w:w="0" w:type="dxa"/>
            </w:tcMar>
            <w:tcW w:w="14634"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8931"/>
              </w:tabs>
              <w:spacing w:after="0" w:line="288" w:lineRule="auto"/>
              <w:ind w:right="0" w:firstLine="0" w:left="0"/>
              <w:jc w:val="center"/>
              <w:rPr/>
            </w:pPr>
            <w:r>
              <w:rPr>
                <w:rFonts w:ascii="Times New Roman" w:hAnsi="Times New Roman" w:eastAsia="Times New Roman" w:cs="Times New Roman"/>
                <w:b/>
                <w:color w:val="000000"/>
                <w:sz w:val="24"/>
              </w:rPr>
              <w:t xml:space="preserve">CỘNG HOÀ XÃ HỘI CHỦ NGHĨA VIỆT NAM</w:t>
            </w:r>
            <w:r/>
          </w:p>
          <w:p>
            <w:pPr>
              <w:pBdr>
                <w:top w:val="none" w:color="000000" w:sz="4" w:space="0"/>
                <w:left w:val="none" w:color="000000" w:sz="4" w:space="0"/>
                <w:bottom w:val="none" w:color="000000" w:sz="4" w:space="0"/>
                <w:right w:val="none" w:color="000000" w:sz="4" w:space="0"/>
              </w:pBdr>
              <w:tabs>
                <w:tab w:val="left" w:leader="none" w:pos="8931"/>
              </w:tabs>
              <w:spacing w:line="288" w:lineRule="auto"/>
              <w:ind w:right="0" w:firstLine="0" w:left="0"/>
              <w:jc w:val="center"/>
              <w:rPr/>
            </w:pPr>
            <w:r>
              <w:rPr>
                <w:rFonts w:ascii="Times New Roman" w:hAnsi="Times New Roman" w:eastAsia="Times New Roman" w:cs="Times New Roman"/>
                <w:b/>
                <w:color w:val="000000"/>
                <w:sz w:val="24"/>
              </w:rPr>
              <w:t xml:space="preserve">Độc lập - Tự do – Hạnh phúc</w:t>
            </w:r>
            <w:r/>
          </w:p>
          <w:p>
            <w:pPr>
              <w:pBdr>
                <w:top w:val="none" w:color="000000" w:sz="4" w:space="0"/>
                <w:left w:val="none" w:color="000000" w:sz="4" w:space="0"/>
                <w:bottom w:val="none" w:color="000000" w:sz="4" w:space="0"/>
                <w:right w:val="none" w:color="000000" w:sz="4" w:space="0"/>
              </w:pBdr>
              <w:tabs>
                <w:tab w:val="left" w:leader="none" w:pos="8931"/>
              </w:tabs>
              <w:spacing w:line="288" w:lineRule="auto"/>
              <w:ind w:right="0" w:firstLine="0" w:left="0"/>
              <w:jc w:val="center"/>
              <w:rPr/>
            </w:pPr>
            <w:r>
              <w:rPr>
                <w:rFonts w:ascii="Times New Roman" w:hAnsi="Times New Roman" w:eastAsia="Times New Roman" w:cs="Times New Roman"/>
                <w:b/>
                <w:color w:val="000000"/>
                <w:sz w:val="24"/>
              </w:rPr>
              <w:t xml:space="preserve">-----***-----</w:t>
            </w:r>
            <w:r/>
          </w:p>
        </w:tc>
      </w:tr>
      <w:tr>
        <w:trPr>
          <w:trHeight w:val="80"/>
        </w:trPr>
        <w:tc>
          <w:tcPr>
            <w:tcBorders/>
            <w:tcMar>
              <w:left w:w="108" w:type="dxa"/>
              <w:top w:w="0" w:type="dxa"/>
              <w:right w:w="108" w:type="dxa"/>
              <w:bottom w:w="0" w:type="dxa"/>
            </w:tcMar>
            <w:tcW w:w="613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8931"/>
              </w:tabs>
              <w:spacing w:after="0" w:before="0" w:line="288" w:lineRule="auto"/>
              <w:ind w:right="-94" w:firstLine="0" w:left="-80"/>
              <w:jc w:val="center"/>
              <w:rPr/>
            </w:pPr>
            <w:r>
              <w:rPr>
                <w:rFonts w:ascii="Times New Roman" w:hAnsi="Times New Roman" w:eastAsia="Times New Roman" w:cs="Times New Roman"/>
                <w:i/>
                <w:color w:val="000000"/>
                <w:sz w:val="24"/>
              </w:rPr>
              <w:t xml:space="preserve">Số: 275/2026/0725/VFI-HĐTĐ.44.A</w:t>
            </w:r>
            <w:r/>
          </w:p>
        </w:tc>
        <w:tc>
          <w:tcPr>
            <w:tcBorders/>
            <w:tcMar>
              <w:left w:w="108" w:type="dxa"/>
              <w:top w:w="0" w:type="dxa"/>
              <w:right w:w="108" w:type="dxa"/>
              <w:bottom w:w="0" w:type="dxa"/>
            </w:tcMar>
            <w:tcW w:w="8503"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120" w:line="288" w:lineRule="auto"/>
              <w:ind w:right="0" w:firstLine="3" w:left="357"/>
              <w:jc w:val="right"/>
              <w:rPr/>
            </w:pPr>
            <w:r>
              <w:rPr>
                <w:rFonts w:ascii="Times New Roman" w:hAnsi="Times New Roman" w:eastAsia="Times New Roman" w:cs="Times New Roman"/>
                <w:i/>
                <w:color w:val="000000"/>
                <w:sz w:val="24"/>
              </w:rPr>
              <w:t xml:space="preserve">          Hà Nội, ngày 04 tháng 5 năm 2026</w:t>
            </w:r>
            <w:r/>
          </w:p>
        </w:tc>
      </w:tr>
    </w:tbl>
    <w:p>
      <w:pPr>
        <w:pBdr>
          <w:top w:val="none" w:color="000000" w:sz="4" w:space="0"/>
          <w:left w:val="none" w:color="000000" w:sz="4" w:space="0"/>
          <w:bottom w:val="none" w:color="000000" w:sz="4" w:space="0"/>
          <w:right w:val="none" w:color="000000" w:sz="4" w:space="0"/>
        </w:pBdr>
        <w:spacing w:line="288" w:lineRule="auto"/>
        <w:ind w:right="0" w:firstLine="0" w:left="0"/>
        <w:jc w:val="center"/>
        <w:rPr/>
      </w:pPr>
      <w:r>
        <w:rPr>
          <w:rFonts w:ascii="Times New Roman" w:hAnsi="Times New Roman" w:eastAsia="Times New Roman" w:cs="Times New Roman"/>
          <w:b/>
          <w:color w:val="000000"/>
          <w:sz w:val="10"/>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8"/>
        </w:rPr>
        <w:t xml:space="preserve">HỢP ĐỒNG DỊCH VỤ THẨM ĐỊNH GIÁ</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i/>
          <w:color w:val="000000"/>
          <w:sz w:val="24"/>
        </w:rPr>
        <w:t xml:space="preserve">(V/v: Thẩm định giá tài sản)</w:t>
      </w:r>
      <w:r/>
    </w:p>
    <w:p>
      <w:pPr>
        <w:numPr>
          <w:ilvl w:val="0"/>
          <w:numId w:val="35"/>
        </w:numPr>
        <w:pBdr>
          <w:top w:val="none" w:color="000000" w:sz="4" w:space="0"/>
          <w:left w:val="none" w:color="000000" w:sz="4" w:space="0"/>
          <w:bottom w:val="none" w:color="000000" w:sz="4" w:space="0"/>
          <w:right w:val="none" w:color="000000" w:sz="4" w:space="0"/>
        </w:pBdr>
        <w:spacing w:line="312" w:lineRule="auto"/>
        <w:ind/>
        <w:jc w:val="both"/>
        <w:rPr/>
      </w:pPr>
      <w:r>
        <w:rPr>
          <w:rFonts w:ascii="Times New Roman" w:hAnsi="Times New Roman" w:eastAsia="Times New Roman" w:cs="Times New Roman"/>
          <w:i/>
          <w:color w:val="000000"/>
          <w:sz w:val="24"/>
        </w:rPr>
        <w:t xml:space="preserve">Căn cứ Luật Dân sự số 91/2015/QH13 ngày 24/11/2015 và các văn bản hướng dẫn thi hành;</w:t>
      </w:r>
      <w:r/>
    </w:p>
    <w:p>
      <w:pPr>
        <w:numPr>
          <w:ilvl w:val="0"/>
          <w:numId w:val="35"/>
        </w:numPr>
        <w:pBdr>
          <w:top w:val="none" w:color="000000" w:sz="4" w:space="0"/>
          <w:left w:val="none" w:color="000000" w:sz="4" w:space="0"/>
          <w:bottom w:val="none" w:color="000000" w:sz="4" w:space="0"/>
          <w:right w:val="none" w:color="000000" w:sz="4" w:space="0"/>
        </w:pBdr>
        <w:spacing w:line="312" w:lineRule="auto"/>
        <w:ind/>
        <w:jc w:val="both"/>
        <w:rPr/>
      </w:pPr>
      <w:r>
        <w:rPr>
          <w:rFonts w:ascii="Times New Roman" w:hAnsi="Times New Roman" w:eastAsia="Times New Roman" w:cs="Times New Roman"/>
          <w:i/>
          <w:color w:val="000000"/>
          <w:sz w:val="24"/>
        </w:rPr>
        <w:t xml:space="preserve">Căn cứ Luật Doanh nghiệp số 59/2020/QH14 ngày 17/6/2020; Luật số 76/2025 sửa đổi bổ sung một số điều của Luật Doanh Nghiệp và các văn bản hướng dẫn thi hành;;</w:t>
      </w:r>
      <w:r/>
    </w:p>
    <w:p>
      <w:pPr>
        <w:numPr>
          <w:ilvl w:val="0"/>
          <w:numId w:val="35"/>
        </w:numPr>
        <w:pBdr>
          <w:top w:val="none" w:color="000000" w:sz="4" w:space="0"/>
          <w:left w:val="none" w:color="000000" w:sz="4" w:space="0"/>
          <w:bottom w:val="none" w:color="000000" w:sz="4" w:space="0"/>
          <w:right w:val="none" w:color="000000" w:sz="4" w:space="0"/>
        </w:pBdr>
        <w:spacing w:line="312" w:lineRule="auto"/>
        <w:ind/>
        <w:jc w:val="both"/>
        <w:rPr/>
      </w:pPr>
      <w:r>
        <w:rPr>
          <w:rFonts w:ascii="Times New Roman" w:hAnsi="Times New Roman" w:eastAsia="Times New Roman" w:cs="Times New Roman"/>
          <w:i/>
          <w:color w:val="000000"/>
          <w:sz w:val="24"/>
        </w:rPr>
        <w:t xml:space="preserve">Căn cứ Luật giá số 16/2023/QH15 ngày 19/06/2023 và các văn bản hướng dẫn thi hành; </w:t>
      </w:r>
      <w:r/>
    </w:p>
    <w:p>
      <w:pPr>
        <w:numPr>
          <w:ilvl w:val="0"/>
          <w:numId w:val="35"/>
        </w:numPr>
        <w:pBdr>
          <w:top w:val="none" w:color="000000" w:sz="4" w:space="0"/>
          <w:left w:val="none" w:color="000000" w:sz="4" w:space="0"/>
          <w:bottom w:val="none" w:color="000000" w:sz="4" w:space="0"/>
          <w:right w:val="none" w:color="000000" w:sz="4" w:space="0"/>
        </w:pBdr>
        <w:spacing w:line="312" w:lineRule="auto"/>
        <w:ind/>
        <w:jc w:val="both"/>
        <w:rPr/>
      </w:pPr>
      <w:r>
        <w:rPr>
          <w:rFonts w:ascii="Times New Roman" w:hAnsi="Times New Roman" w:eastAsia="Times New Roman" w:cs="Times New Roman"/>
          <w:i/>
          <w:color w:val="000000"/>
          <w:sz w:val="24"/>
        </w:rPr>
        <w:t xml:space="preserve">Căn cứ Nghị định 78/2024/NĐ-CP ngày 01/07/2024 của chính phủ Quy định chi tiết một số điều của Luật giá về thẩm định giá;</w:t>
      </w:r>
      <w:r/>
    </w:p>
    <w:p>
      <w:pPr>
        <w:numPr>
          <w:ilvl w:val="0"/>
          <w:numId w:val="35"/>
        </w:numPr>
        <w:pBdr>
          <w:top w:val="none" w:color="000000" w:sz="4" w:space="0"/>
          <w:left w:val="none" w:color="000000" w:sz="4" w:space="0"/>
          <w:bottom w:val="none" w:color="000000" w:sz="4" w:space="0"/>
          <w:right w:val="none" w:color="000000" w:sz="4" w:space="0"/>
        </w:pBdr>
        <w:spacing w:line="312" w:lineRule="auto"/>
        <w:ind/>
        <w:jc w:val="both"/>
        <w:rPr/>
      </w:pPr>
      <w:r>
        <w:rPr>
          <w:rFonts w:ascii="Times New Roman" w:hAnsi="Times New Roman" w:eastAsia="Times New Roman" w:cs="Times New Roman"/>
          <w:i/>
          <w:color w:val="000000"/>
          <w:sz w:val="24"/>
        </w:rPr>
        <w:t xml:space="preserve">Căn cứ nhu cầu và khả năng của hai bên.</w:t>
      </w:r>
      <w:r>
        <w:rPr>
          <w:rFonts w:ascii="Times New Roman" w:hAnsi="Times New Roman" w:eastAsia="Times New Roman" w:cs="Times New Roman"/>
          <w:i/>
          <w:color w:val="000000"/>
          <w:spacing w:val="-4"/>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284"/>
        <w:jc w:val="both"/>
        <w:rPr/>
      </w:pPr>
      <w:r>
        <w:rPr>
          <w:rFonts w:ascii="Times New Roman" w:hAnsi="Times New Roman" w:eastAsia="Times New Roman" w:cs="Times New Roman"/>
          <w:i/>
          <w:color w:val="000000"/>
          <w:spacing w:val="-4"/>
          <w:sz w:val="24"/>
        </w:rPr>
        <w:t xml:space="preserve"> </w:t>
      </w:r>
      <w:r/>
    </w:p>
    <w:tbl>
      <w:tblPr>
        <w:tblStyle w:val="814"/>
        <w:tblInd w:w="168" w:type="dxa"/>
        <w:tblW w:w="0" w:type="auto"/>
        <w:tblCellMar>
          <w:left w:w="113" w:type="dxa"/>
          <w:top w:w="0" w:type="dxa"/>
          <w:right w:w="113"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202"/>
        <w:gridCol w:w="470"/>
        <w:gridCol w:w="11245"/>
      </w:tblGrid>
      <w:tr>
        <w:trPr>
          <w:trHeight w:val="20"/>
        </w:trPr>
        <w:tc>
          <w:tcPr>
            <w:tcBorders/>
            <w:tcMar>
              <w:left w:w="113" w:type="dxa"/>
              <w:top w:w="0" w:type="dxa"/>
              <w:right w:w="113" w:type="dxa"/>
              <w:bottom w:w="0" w:type="dxa"/>
            </w:tcMar>
            <w:tcW w:w="2202" w:type="dxa"/>
            <w:vAlign w:val="top"/>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9" w:firstLine="0" w:left="0"/>
              <w:rPr/>
            </w:pPr>
            <w:r>
              <w:rPr>
                <w:rFonts w:ascii="Times New Roman" w:hAnsi="Times New Roman" w:eastAsia="Times New Roman" w:cs="Times New Roman"/>
                <w:b/>
                <w:color w:val="000000"/>
                <w:sz w:val="24"/>
                <w:u w:val="single"/>
              </w:rPr>
              <w:t xml:space="preserve">BÊN A</w:t>
            </w:r>
            <w:r/>
          </w:p>
        </w:tc>
        <w:tc>
          <w:tcPr>
            <w:tcBorders/>
            <w:tcMar>
              <w:left w:w="113" w:type="dxa"/>
              <w:top w:w="0" w:type="dxa"/>
              <w:right w:w="113" w:type="dxa"/>
              <w:bottom w:w="0" w:type="dxa"/>
            </w:tcMar>
            <w:tcW w:w="470" w:type="dxa"/>
            <w:vAlign w:val="top"/>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9" w:firstLine="0" w:left="0"/>
              <w:rPr/>
            </w:pPr>
            <w:r>
              <w:rPr>
                <w:rFonts w:ascii="Times New Roman" w:hAnsi="Times New Roman" w:eastAsia="Times New Roman" w:cs="Times New Roman"/>
                <w:b/>
                <w:color w:val="000000"/>
                <w:sz w:val="24"/>
                <w:u w:val="single"/>
              </w:rPr>
              <w:t xml:space="preserve">:</w:t>
            </w:r>
            <w:r/>
          </w:p>
        </w:tc>
        <w:tc>
          <w:tcPr>
            <w:tcBorders/>
            <w:tcMar>
              <w:left w:w="113" w:type="dxa"/>
              <w:top w:w="0" w:type="dxa"/>
              <w:right w:w="113" w:type="dxa"/>
              <w:bottom w:w="0" w:type="dxa"/>
            </w:tcMar>
            <w:tcW w:w="11245" w:type="dxa"/>
            <w:vAlign w:val="top"/>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9" w:firstLine="0" w:left="0"/>
              <w:rPr/>
            </w:pPr>
            <w:r>
              <w:rPr>
                <w:rFonts w:ascii="Times New Roman" w:hAnsi="Times New Roman" w:eastAsia="Times New Roman" w:cs="Times New Roman"/>
                <w:b/>
                <w:color w:val="000000"/>
                <w:sz w:val="24"/>
                <w:u w:val="single"/>
              </w:rPr>
              <w:t xml:space="preserve">ÔNG VŨ VĂN HẠNH</w:t>
            </w:r>
            <w:r/>
          </w:p>
        </w:tc>
      </w:tr>
      <w:tr>
        <w:trPr>
          <w:trHeight w:val="20"/>
        </w:trPr>
        <w:tc>
          <w:tcPr>
            <w:tcBorders/>
            <w:tcMar>
              <w:left w:w="113" w:type="dxa"/>
              <w:top w:w="0" w:type="dxa"/>
              <w:right w:w="113" w:type="dxa"/>
              <w:bottom w:w="0" w:type="dxa"/>
            </w:tcMar>
            <w:tcW w:w="2202" w:type="dxa"/>
            <w:vAlign w:val="top"/>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9" w:firstLine="0" w:left="0"/>
              <w:rPr/>
            </w:pPr>
            <w:r>
              <w:rPr>
                <w:rFonts w:ascii="Times New Roman" w:hAnsi="Times New Roman" w:eastAsia="Times New Roman" w:cs="Times New Roman"/>
                <w:color w:val="000000"/>
                <w:sz w:val="24"/>
              </w:rPr>
              <w:t xml:space="preserve">CCCD</w:t>
            </w:r>
            <w:r/>
          </w:p>
        </w:tc>
        <w:tc>
          <w:tcPr>
            <w:tcBorders/>
            <w:tcMar>
              <w:left w:w="113" w:type="dxa"/>
              <w:top w:w="0" w:type="dxa"/>
              <w:right w:w="113" w:type="dxa"/>
              <w:bottom w:w="0" w:type="dxa"/>
            </w:tcMar>
            <w:tcW w:w="470" w:type="dxa"/>
            <w:vAlign w:val="top"/>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9" w:firstLine="0" w:left="0"/>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11245" w:type="dxa"/>
            <w:vAlign w:val="top"/>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9" w:firstLine="0" w:left="0"/>
              <w:rPr/>
            </w:pPr>
            <w:r>
              <w:rPr>
                <w:rFonts w:ascii="Times New Roman" w:hAnsi="Times New Roman" w:eastAsia="Times New Roman" w:cs="Times New Roman"/>
                <w:color w:val="000000"/>
                <w:sz w:val="24"/>
              </w:rPr>
              <w:t xml:space="preserve">001180021841</w:t>
            </w:r>
            <w:r/>
          </w:p>
        </w:tc>
      </w:tr>
      <w:tr>
        <w:trPr>
          <w:trHeight w:val="20"/>
        </w:trPr>
        <w:tc>
          <w:tcPr>
            <w:tcBorders/>
            <w:tcMar>
              <w:left w:w="113" w:type="dxa"/>
              <w:top w:w="0" w:type="dxa"/>
              <w:right w:w="113" w:type="dxa"/>
              <w:bottom w:w="0" w:type="dxa"/>
            </w:tcMar>
            <w:tcW w:w="220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 </w:t>
            </w:r>
            <w:r/>
          </w:p>
        </w:tc>
        <w:tc>
          <w:tcPr>
            <w:tcBorders/>
            <w:tcMar>
              <w:left w:w="113" w:type="dxa"/>
              <w:top w:w="0" w:type="dxa"/>
              <w:right w:w="113" w:type="dxa"/>
              <w:bottom w:w="0" w:type="dxa"/>
            </w:tcMar>
            <w:tcW w:w="4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center"/>
              <w:rPr/>
            </w:pPr>
            <w:r>
              <w:rPr>
                <w:rFonts w:ascii="Times New Roman" w:hAnsi="Times New Roman" w:eastAsia="Times New Roman" w:cs="Times New Roman"/>
                <w:color w:val="000000"/>
                <w:sz w:val="24"/>
              </w:rPr>
              <w:t xml:space="preserve"> </w:t>
            </w:r>
            <w:r/>
          </w:p>
        </w:tc>
        <w:tc>
          <w:tcPr>
            <w:tcBorders/>
            <w:tcMar>
              <w:left w:w="113" w:type="dxa"/>
              <w:top w:w="0" w:type="dxa"/>
              <w:right w:w="113" w:type="dxa"/>
              <w:bottom w:w="0" w:type="dxa"/>
            </w:tcMar>
            <w:tcW w:w="1124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b/>
                <w:color w:val="000000"/>
                <w:sz w:val="24"/>
              </w:rPr>
              <w:t xml:space="preserve"> </w:t>
            </w:r>
            <w:r/>
          </w:p>
        </w:tc>
      </w:tr>
      <w:tr>
        <w:trPr>
          <w:trHeight w:val="20"/>
        </w:trPr>
        <w:tc>
          <w:tcPr>
            <w:tcBorders/>
            <w:tcMar>
              <w:left w:w="113" w:type="dxa"/>
              <w:top w:w="0" w:type="dxa"/>
              <w:right w:w="113" w:type="dxa"/>
              <w:bottom w:w="0" w:type="dxa"/>
            </w:tcMar>
            <w:tcW w:w="220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9" w:firstLine="0" w:left="0"/>
              <w:rPr/>
            </w:pPr>
            <w:r>
              <w:rPr>
                <w:rFonts w:ascii="Times New Roman" w:hAnsi="Times New Roman" w:eastAsia="Times New Roman" w:cs="Times New Roman"/>
                <w:b/>
                <w:color w:val="000000"/>
                <w:sz w:val="24"/>
                <w:u w:val="single"/>
              </w:rPr>
              <w:t xml:space="preserve">BÊN B</w:t>
            </w:r>
            <w:r/>
          </w:p>
        </w:tc>
        <w:tc>
          <w:tcPr>
            <w:tcBorders/>
            <w:tcMar>
              <w:left w:w="113" w:type="dxa"/>
              <w:top w:w="0" w:type="dxa"/>
              <w:right w:w="113" w:type="dxa"/>
              <w:bottom w:w="0" w:type="dxa"/>
            </w:tcMar>
            <w:tcW w:w="4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9" w:firstLine="0" w:left="0"/>
              <w:jc w:val="center"/>
              <w:rPr/>
            </w:pPr>
            <w:r>
              <w:rPr>
                <w:rFonts w:ascii="Times New Roman" w:hAnsi="Times New Roman" w:eastAsia="Times New Roman" w:cs="Times New Roman"/>
                <w:b/>
                <w:color w:val="000000"/>
                <w:sz w:val="24"/>
              </w:rPr>
              <w:t xml:space="preserve">:</w:t>
            </w:r>
            <w:r/>
          </w:p>
        </w:tc>
        <w:tc>
          <w:tcPr>
            <w:tcBorders/>
            <w:tcMar>
              <w:left w:w="113" w:type="dxa"/>
              <w:top w:w="0" w:type="dxa"/>
              <w:right w:w="113" w:type="dxa"/>
              <w:bottom w:w="0" w:type="dxa"/>
            </w:tcMar>
            <w:tcW w:w="1124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b/>
                <w:color w:val="000000"/>
                <w:sz w:val="24"/>
              </w:rPr>
              <w:t xml:space="preserve">CÔNG TY CỔ PHẦN THẨM ĐỊNH VÀ ĐẦU TƯ TÀI CHÍNH HOA SEN</w:t>
            </w:r>
            <w:r/>
          </w:p>
        </w:tc>
      </w:tr>
      <w:tr>
        <w:trPr>
          <w:trHeight w:val="20"/>
        </w:trPr>
        <w:tc>
          <w:tcPr>
            <w:tcBorders/>
            <w:tcMar>
              <w:left w:w="113" w:type="dxa"/>
              <w:top w:w="0" w:type="dxa"/>
              <w:right w:w="113" w:type="dxa"/>
              <w:bottom w:w="0" w:type="dxa"/>
            </w:tcMar>
            <w:tcW w:w="220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Địa chỉ </w:t>
            </w:r>
            <w:r/>
          </w:p>
        </w:tc>
        <w:tc>
          <w:tcPr>
            <w:tcBorders/>
            <w:tcMar>
              <w:left w:w="113" w:type="dxa"/>
              <w:top w:w="0" w:type="dxa"/>
              <w:right w:w="113" w:type="dxa"/>
              <w:bottom w:w="0" w:type="dxa"/>
            </w:tcMar>
            <w:tcW w:w="4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1124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pacing w:val="-2"/>
                <w:sz w:val="24"/>
              </w:rPr>
              <w:t xml:space="preserve">BT5 - 23, Khu đô thị mới Văn Phú, Phường Kiến Hưng, Thành phố Hà Nội</w:t>
            </w:r>
            <w:r/>
          </w:p>
        </w:tc>
      </w:tr>
      <w:tr>
        <w:trPr>
          <w:trHeight w:val="20"/>
        </w:trPr>
        <w:tc>
          <w:tcPr>
            <w:tcBorders/>
            <w:tcMar>
              <w:left w:w="113" w:type="dxa"/>
              <w:top w:w="0" w:type="dxa"/>
              <w:right w:w="113" w:type="dxa"/>
              <w:bottom w:w="0" w:type="dxa"/>
            </w:tcMar>
            <w:tcW w:w="220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Điện thoại</w:t>
            </w:r>
            <w:r/>
          </w:p>
        </w:tc>
        <w:tc>
          <w:tcPr>
            <w:tcBorders/>
            <w:tcMar>
              <w:left w:w="113" w:type="dxa"/>
              <w:top w:w="0" w:type="dxa"/>
              <w:right w:w="113" w:type="dxa"/>
              <w:bottom w:w="0" w:type="dxa"/>
            </w:tcMar>
            <w:tcW w:w="4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11245"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3382"/>
              </w:tabs>
              <w:spacing w:after="40" w:before="40" w:line="288" w:lineRule="auto"/>
              <w:ind w:right="0" w:firstLine="0" w:left="0"/>
              <w:rPr/>
            </w:pPr>
            <w:r>
              <w:rPr>
                <w:rFonts w:ascii="Times New Roman" w:hAnsi="Times New Roman" w:eastAsia="Times New Roman" w:cs="Times New Roman"/>
                <w:color w:val="000000"/>
                <w:sz w:val="24"/>
              </w:rPr>
              <w:t xml:space="preserve">024 2264 4333</w:t>
            </w:r>
            <w:r/>
          </w:p>
        </w:tc>
      </w:tr>
      <w:tr>
        <w:trPr>
          <w:trHeight w:val="20"/>
        </w:trPr>
        <w:tc>
          <w:tcPr>
            <w:tcBorders/>
            <w:tcMar>
              <w:left w:w="113" w:type="dxa"/>
              <w:top w:w="0" w:type="dxa"/>
              <w:right w:w="113" w:type="dxa"/>
              <w:bottom w:w="0" w:type="dxa"/>
            </w:tcMar>
            <w:tcW w:w="220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Mã số thuế</w:t>
            </w:r>
            <w:r/>
          </w:p>
        </w:tc>
        <w:tc>
          <w:tcPr>
            <w:tcBorders/>
            <w:tcMar>
              <w:left w:w="113" w:type="dxa"/>
              <w:top w:w="0" w:type="dxa"/>
              <w:right w:w="113" w:type="dxa"/>
              <w:bottom w:w="0" w:type="dxa"/>
            </w:tcMar>
            <w:tcW w:w="4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1124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0102708994 </w:t>
            </w:r>
            <w:r/>
          </w:p>
        </w:tc>
      </w:tr>
      <w:tr>
        <w:trPr>
          <w:trHeight w:val="20"/>
        </w:trPr>
        <w:tc>
          <w:tcPr>
            <w:tcBorders/>
            <w:tcMar>
              <w:left w:w="113" w:type="dxa"/>
              <w:top w:w="0" w:type="dxa"/>
              <w:right w:w="113" w:type="dxa"/>
              <w:bottom w:w="0" w:type="dxa"/>
            </w:tcMar>
            <w:tcW w:w="220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Mã số GCN đủ điều kiện hành nghề</w:t>
            </w:r>
            <w:r/>
          </w:p>
        </w:tc>
        <w:tc>
          <w:tcPr>
            <w:tcBorders/>
            <w:tcMar>
              <w:left w:w="113" w:type="dxa"/>
              <w:top w:w="0" w:type="dxa"/>
              <w:right w:w="113" w:type="dxa"/>
              <w:bottom w:w="0" w:type="dxa"/>
            </w:tcMar>
            <w:tcW w:w="4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1124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275/TĐG</w:t>
            </w:r>
            <w:r/>
          </w:p>
        </w:tc>
      </w:tr>
      <w:tr>
        <w:trPr>
          <w:trHeight w:val="20"/>
        </w:trPr>
        <w:tc>
          <w:tcPr>
            <w:tcBorders/>
            <w:tcMar>
              <w:left w:w="113" w:type="dxa"/>
              <w:top w:w="0" w:type="dxa"/>
              <w:right w:w="113" w:type="dxa"/>
              <w:bottom w:w="0" w:type="dxa"/>
            </w:tcMar>
            <w:tcW w:w="220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Tài khoản số</w:t>
            </w:r>
            <w:r/>
          </w:p>
        </w:tc>
        <w:tc>
          <w:tcPr>
            <w:tcBorders/>
            <w:tcMar>
              <w:left w:w="113" w:type="dxa"/>
              <w:top w:w="0" w:type="dxa"/>
              <w:right w:w="113" w:type="dxa"/>
              <w:bottom w:w="0" w:type="dxa"/>
            </w:tcMar>
            <w:tcW w:w="4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1124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pacing w:val="-4"/>
                <w:sz w:val="24"/>
              </w:rPr>
              <w:t xml:space="preserve">1505112366666 tại Agribank Chi nhánh Hà Nội II</w:t>
            </w:r>
            <w:r/>
          </w:p>
        </w:tc>
      </w:tr>
      <w:tr>
        <w:trPr>
          <w:trHeight w:val="20"/>
        </w:trPr>
        <w:tc>
          <w:tcPr>
            <w:tcBorders/>
            <w:tcMar>
              <w:left w:w="113" w:type="dxa"/>
              <w:top w:w="0" w:type="dxa"/>
              <w:right w:w="113" w:type="dxa"/>
              <w:bottom w:w="0" w:type="dxa"/>
            </w:tcMar>
            <w:tcW w:w="220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Đại diện</w:t>
            </w:r>
            <w:r/>
          </w:p>
        </w:tc>
        <w:tc>
          <w:tcPr>
            <w:tcBorders/>
            <w:tcMar>
              <w:left w:w="113" w:type="dxa"/>
              <w:top w:w="0" w:type="dxa"/>
              <w:right w:w="113" w:type="dxa"/>
              <w:bottom w:w="0" w:type="dxa"/>
            </w:tcMar>
            <w:tcW w:w="4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1124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b/>
                <w:color w:val="000000"/>
                <w:sz w:val="24"/>
              </w:rPr>
              <w:t xml:space="preserve">Vũ Văn Quân</w:t>
            </w:r>
            <w:r/>
          </w:p>
        </w:tc>
      </w:tr>
      <w:tr>
        <w:trPr>
          <w:trHeight w:val="20"/>
        </w:trPr>
        <w:tc>
          <w:tcPr>
            <w:tcBorders/>
            <w:tcMar>
              <w:left w:w="113" w:type="dxa"/>
              <w:top w:w="0" w:type="dxa"/>
              <w:right w:w="113" w:type="dxa"/>
              <w:bottom w:w="0" w:type="dxa"/>
            </w:tcMar>
            <w:tcW w:w="220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Chức vụ</w:t>
            </w:r>
            <w:r/>
          </w:p>
        </w:tc>
        <w:tc>
          <w:tcPr>
            <w:tcBorders/>
            <w:tcMar>
              <w:left w:w="113" w:type="dxa"/>
              <w:top w:w="0" w:type="dxa"/>
              <w:right w:w="113" w:type="dxa"/>
              <w:bottom w:w="0" w:type="dxa"/>
            </w:tcMar>
            <w:tcW w:w="4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1124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b/>
                <w:color w:val="000000"/>
                <w:sz w:val="24"/>
              </w:rPr>
              <w:t xml:space="preserve">Chủ Tịch HĐQT kiêm Tổng Giám Đốc</w:t>
            </w:r>
            <w:r/>
          </w:p>
        </w:tc>
      </w:tr>
      <w:tr>
        <w:trPr>
          <w:trHeight w:val="20"/>
        </w:trPr>
        <w:tc>
          <w:tcPr>
            <w:tcBorders/>
            <w:tcMar>
              <w:left w:w="113" w:type="dxa"/>
              <w:top w:w="0" w:type="dxa"/>
              <w:right w:w="113" w:type="dxa"/>
              <w:bottom w:w="0" w:type="dxa"/>
            </w:tcMar>
            <w:tcW w:w="220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 </w:t>
            </w:r>
            <w:r/>
          </w:p>
        </w:tc>
        <w:tc>
          <w:tcPr>
            <w:tcBorders/>
            <w:tcMar>
              <w:left w:w="113" w:type="dxa"/>
              <w:top w:w="0" w:type="dxa"/>
              <w:right w:w="113" w:type="dxa"/>
              <w:bottom w:w="0" w:type="dxa"/>
            </w:tcMar>
            <w:tcW w:w="4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 </w:t>
            </w:r>
            <w:r/>
          </w:p>
        </w:tc>
        <w:tc>
          <w:tcPr>
            <w:tcBorders/>
            <w:tcMar>
              <w:left w:w="113" w:type="dxa"/>
              <w:top w:w="0" w:type="dxa"/>
              <w:right w:w="113" w:type="dxa"/>
              <w:bottom w:w="0" w:type="dxa"/>
            </w:tcMar>
            <w:tcW w:w="1124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b/>
                <w:color w:val="000000"/>
                <w:sz w:val="24"/>
              </w:rPr>
              <w:t xml:space="preserve"> </w:t>
            </w:r>
            <w:r/>
          </w:p>
        </w:tc>
      </w:tr>
    </w:tbl>
    <w:p>
      <w:pPr>
        <w:pBdr>
          <w:top w:val="none" w:color="000000" w:sz="4" w:space="0"/>
          <w:left w:val="none" w:color="000000" w:sz="4" w:space="0"/>
          <w:bottom w:val="none" w:color="000000" w:sz="4" w:space="0"/>
          <w:right w:val="none" w:color="000000" w:sz="4" w:space="0"/>
        </w:pBdr>
        <w:spacing w:line="288" w:lineRule="auto"/>
        <w:ind w:right="0" w:firstLine="0" w:left="0"/>
        <w:jc w:val="both"/>
        <w:rPr/>
      </w:pPr>
      <w:r>
        <w:rPr>
          <w:rFonts w:ascii="Times New Roman" w:hAnsi="Times New Roman" w:eastAsia="Times New Roman" w:cs="Times New Roman"/>
          <w:color w:val="000000"/>
          <w:spacing w:val="-4"/>
          <w:sz w:val="24"/>
        </w:rPr>
        <w:t xml:space="preserve"> </w:t>
      </w:r>
      <w:r/>
    </w:p>
    <w:p>
      <w:pPr>
        <w:pBdr>
          <w:top w:val="none" w:color="000000" w:sz="4" w:space="0"/>
          <w:left w:val="none" w:color="000000" w:sz="4" w:space="0"/>
          <w:bottom w:val="none" w:color="000000" w:sz="4" w:space="0"/>
          <w:right w:val="none" w:color="000000" w:sz="4" w:space="0"/>
        </w:pBdr>
        <w:spacing w:line="288" w:lineRule="auto"/>
        <w:ind w:right="0" w:firstLine="0" w:left="0"/>
        <w:jc w:val="both"/>
        <w:rPr/>
      </w:pPr>
      <w:r>
        <w:rPr>
          <w:rFonts w:ascii="Times New Roman" w:hAnsi="Times New Roman" w:eastAsia="Times New Roman" w:cs="Times New Roman"/>
          <w:color w:val="000000"/>
          <w:spacing w:val="-4"/>
          <w:sz w:val="24"/>
        </w:rPr>
        <w:t xml:space="preserve">Sau khi bàn bạc hai bên cùng thống nhất ký kết Hợp đồng dịch vụ thẩm định giá với các điều khoản và điều kiện cụ thể sau:</w:t>
      </w:r>
      <w:r/>
    </w:p>
    <w:p>
      <w:pPr>
        <w:pBdr>
          <w:top w:val="none" w:color="000000" w:sz="4" w:space="0"/>
          <w:left w:val="none" w:color="000000" w:sz="4" w:space="0"/>
          <w:bottom w:val="none" w:color="000000" w:sz="4" w:space="0"/>
          <w:right w:val="none" w:color="000000" w:sz="4" w:space="0"/>
        </w:pBdr>
        <w:spacing w:line="288" w:lineRule="auto"/>
        <w:ind w:right="0" w:firstLine="0" w:left="0"/>
        <w:jc w:val="both"/>
        <w:rPr/>
      </w:pPr>
      <w:r>
        <w:rPr>
          <w:rFonts w:ascii="Times New Roman" w:hAnsi="Times New Roman" w:eastAsia="Times New Roman" w:cs="Times New Roman"/>
          <w:color w:val="000000"/>
          <w:spacing w:val="-4"/>
          <w:sz w:val="12"/>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b/>
          <w:color w:val="000000"/>
          <w:sz w:val="24"/>
        </w:rPr>
        <w:t xml:space="preserve">CÁC TỪ VIẾT TẮT VÀ ĐỊNH NGHĨA TRONG HỢP ĐỒNG  NÀY</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b/>
          <w:color w:val="000000"/>
          <w:sz w:val="24"/>
        </w:rPr>
        <w:t xml:space="preserve"> </w:t>
      </w:r>
      <w:r/>
    </w:p>
    <w:p>
      <w:pPr>
        <w:numPr>
          <w:ilvl w:val="0"/>
          <w:numId w:val="36"/>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b/>
          <w:color w:val="000000"/>
          <w:sz w:val="24"/>
        </w:rPr>
        <w:t xml:space="preserve">Các từ viết tắt trong hợp đồng này</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p>
      <w:pPr>
        <w:numPr>
          <w:ilvl w:val="0"/>
          <w:numId w:val="37"/>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color w:val="000000"/>
          <w:sz w:val="24"/>
        </w:rPr>
        <w:t xml:space="preserve">Hợp đồng dịch vụ thẩm định giá: “HĐDVTĐG”;</w:t>
      </w:r>
      <w:r/>
    </w:p>
    <w:p>
      <w:pPr>
        <w:numPr>
          <w:ilvl w:val="0"/>
          <w:numId w:val="37"/>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color w:val="000000"/>
          <w:sz w:val="24"/>
        </w:rPr>
        <w:t xml:space="preserve">Phụ lục Hợp đồng dịch vụ thẩm định giá: “PLHĐDVTĐG”</w:t>
      </w:r>
      <w:r/>
    </w:p>
    <w:p>
      <w:pPr>
        <w:numPr>
          <w:ilvl w:val="0"/>
          <w:numId w:val="37"/>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color w:val="000000"/>
          <w:sz w:val="24"/>
        </w:rPr>
        <w:t xml:space="preserve">Tài sản thẩm định giá: “TSTĐG”</w:t>
      </w:r>
      <w:r/>
    </w:p>
    <w:p>
      <w:pPr>
        <w:numPr>
          <w:ilvl w:val="0"/>
          <w:numId w:val="37"/>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color w:val="000000"/>
          <w:sz w:val="24"/>
        </w:rPr>
        <w:t xml:space="preserve">Biên bản khảo sát hiện trạng tài sản thẩm định giá: “BBKSTS”</w:t>
      </w:r>
      <w:r/>
    </w:p>
    <w:p>
      <w:pPr>
        <w:numPr>
          <w:ilvl w:val="0"/>
          <w:numId w:val="37"/>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color w:val="000000"/>
          <w:sz w:val="24"/>
        </w:rPr>
        <w:t xml:space="preserve">Chứng thư thẩm định giá, Báo cáo kết quả thẩm định giá: “CT, BCTĐG”</w:t>
      </w:r>
      <w:r/>
    </w:p>
    <w:p>
      <w:pPr>
        <w:pBdr>
          <w:top w:val="none" w:color="000000" w:sz="4" w:space="0"/>
          <w:left w:val="none" w:color="000000" w:sz="4" w:space="0"/>
          <w:bottom w:val="none" w:color="000000" w:sz="4" w:space="0"/>
          <w:right w:val="none" w:color="000000" w:sz="4" w:space="0"/>
        </w:pBdr>
        <w:spacing/>
        <w:ind w:right="0" w:firstLine="0" w:left="360"/>
        <w:jc w:val="both"/>
        <w:rPr/>
      </w:pPr>
      <w:r>
        <w:rPr>
          <w:rFonts w:ascii="Times New Roman" w:hAnsi="Times New Roman" w:eastAsia="Times New Roman" w:cs="Times New Roman"/>
          <w:b/>
          <w:color w:val="000000"/>
          <w:sz w:val="24"/>
        </w:rPr>
        <w:t xml:space="preserve"> </w:t>
      </w:r>
      <w:r/>
    </w:p>
    <w:p>
      <w:pPr>
        <w:numPr>
          <w:ilvl w:val="0"/>
          <w:numId w:val="38"/>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b/>
          <w:color w:val="000000"/>
          <w:sz w:val="24"/>
        </w:rPr>
        <w:t xml:space="preserve">Định nghĩa:</w:t>
      </w:r>
      <w:r/>
    </w:p>
    <w:p>
      <w:pPr>
        <w:pBdr>
          <w:top w:val="none" w:color="000000" w:sz="4" w:space="0"/>
          <w:left w:val="none" w:color="000000" w:sz="4" w:space="0"/>
          <w:bottom w:val="none" w:color="000000" w:sz="4" w:space="0"/>
          <w:right w:val="none" w:color="000000" w:sz="4" w:space="0"/>
        </w:pBdr>
        <w:spacing/>
        <w:ind w:right="0" w:firstLine="0" w:left="720"/>
        <w:jc w:val="both"/>
        <w:rPr/>
      </w:pPr>
      <w:r>
        <w:rPr>
          <w:rFonts w:ascii="Times New Roman" w:hAnsi="Times New Roman" w:eastAsia="Times New Roman" w:cs="Times New Roman"/>
          <w:b/>
          <w:color w:val="000000"/>
          <w:sz w:val="24"/>
        </w:rPr>
        <w:t xml:space="preserve"> </w:t>
      </w:r>
      <w:r/>
    </w:p>
    <w:p>
      <w:pPr>
        <w:numPr>
          <w:ilvl w:val="3"/>
          <w:numId w:val="39"/>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b/>
          <w:color w:val="000000"/>
          <w:sz w:val="24"/>
        </w:rPr>
        <w:t xml:space="preserve">HĐDVTĐG </w:t>
      </w:r>
      <w:r>
        <w:rPr>
          <w:rFonts w:ascii="Times New Roman" w:hAnsi="Times New Roman" w:eastAsia="Times New Roman" w:cs="Times New Roman"/>
          <w:color w:val="000000"/>
          <w:sz w:val="24"/>
        </w:rPr>
        <w:t xml:space="preserve">: là HĐDVTĐG này, các Phụ lục kèm theo HĐDVTĐG , các Phụ lục sửa đồi, bổ sung các thoả thuận khác được các bên thống nhất thực hiện và lập thành văn bản ký kết giữa các bên (nếu có).</w:t>
      </w:r>
      <w:r/>
    </w:p>
    <w:p>
      <w:pPr>
        <w:pBdr>
          <w:top w:val="none" w:color="000000" w:sz="4" w:space="0"/>
          <w:left w:val="none" w:color="000000" w:sz="4" w:space="0"/>
          <w:bottom w:val="none" w:color="000000" w:sz="4" w:space="0"/>
          <w:right w:val="none" w:color="000000" w:sz="4" w:space="0"/>
        </w:pBdr>
        <w:spacing/>
        <w:ind w:right="0" w:hanging="360" w:left="360"/>
        <w:jc w:val="both"/>
        <w:rPr/>
      </w:pPr>
      <w:r>
        <w:rPr>
          <w:rFonts w:ascii="Times New Roman" w:hAnsi="Times New Roman" w:eastAsia="Times New Roman" w:cs="Times New Roman"/>
          <w:color w:val="000000"/>
          <w:sz w:val="24"/>
        </w:rPr>
        <w:t xml:space="preserve"> </w:t>
      </w:r>
      <w:r/>
    </w:p>
    <w:p>
      <w:pPr>
        <w:numPr>
          <w:ilvl w:val="3"/>
          <w:numId w:val="39"/>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b/>
          <w:color w:val="000000"/>
          <w:sz w:val="24"/>
        </w:rPr>
        <w:t xml:space="preserve">Bên A</w:t>
      </w:r>
      <w:r>
        <w:rPr>
          <w:rFonts w:ascii="Times New Roman" w:hAnsi="Times New Roman" w:eastAsia="Times New Roman" w:cs="Times New Roman"/>
          <w:color w:val="000000"/>
          <w:sz w:val="24"/>
        </w:rPr>
        <w:t xml:space="preserve">: Có nghĩa là Bên sử dụng dịch vụ thẩm định giá, </w:t>
      </w:r>
      <w:r>
        <w:rPr>
          <w:rFonts w:ascii="Times New Roman" w:hAnsi="Times New Roman" w:eastAsia="Times New Roman" w:cs="Times New Roman"/>
          <w:b/>
          <w:color w:val="000000"/>
          <w:sz w:val="24"/>
        </w:rPr>
        <w:t xml:space="preserve">Bên B</w:t>
      </w:r>
      <w:r>
        <w:rPr>
          <w:rFonts w:ascii="Times New Roman" w:hAnsi="Times New Roman" w:eastAsia="Times New Roman" w:cs="Times New Roman"/>
          <w:color w:val="000000"/>
          <w:sz w:val="24"/>
        </w:rPr>
        <w:t xml:space="preserve">là bên cung cấp dịch vụ thẩm định giá</w:t>
      </w:r>
      <w:r/>
    </w:p>
    <w:p>
      <w:pPr>
        <w:pBdr>
          <w:top w:val="none" w:color="000000" w:sz="4" w:space="0"/>
          <w:left w:val="none" w:color="000000" w:sz="4" w:space="0"/>
          <w:bottom w:val="none" w:color="000000" w:sz="4" w:space="0"/>
          <w:right w:val="none" w:color="000000" w:sz="4" w:space="0"/>
        </w:pBdr>
        <w:spacing/>
        <w:ind w:right="0" w:hanging="360" w:left="360"/>
        <w:jc w:val="both"/>
        <w:rPr/>
      </w:pPr>
      <w:r>
        <w:rPr>
          <w:rFonts w:ascii="Times New Roman" w:hAnsi="Times New Roman" w:eastAsia="Times New Roman" w:cs="Times New Roman"/>
          <w:color w:val="000000"/>
          <w:sz w:val="24"/>
        </w:rPr>
        <w:t xml:space="preserve"> </w:t>
      </w:r>
      <w:r/>
    </w:p>
    <w:p>
      <w:pPr>
        <w:numPr>
          <w:ilvl w:val="3"/>
          <w:numId w:val="39"/>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b/>
          <w:color w:val="000000"/>
          <w:sz w:val="24"/>
        </w:rPr>
        <w:t xml:space="preserve">Phí dịch vụ thẩm định giá</w:t>
      </w:r>
      <w:r>
        <w:rPr>
          <w:rFonts w:ascii="Times New Roman" w:hAnsi="Times New Roman" w:eastAsia="Times New Roman" w:cs="Times New Roman"/>
          <w:color w:val="000000"/>
          <w:sz w:val="24"/>
        </w:rPr>
        <w:t xml:space="preserve">: Có nghĩa là mức phí cho dịch vụ thẩm định giá (định giá) Bên B sẽ thu của Bên A, theo Biểu phí thẩm định giá Bên B dành cho Bên A hoặc theo thỏa thuận giữa Bên A và Bên B được ghi tại HĐDVTĐG.</w:t>
      </w:r>
      <w:r/>
    </w:p>
    <w:p>
      <w:pPr>
        <w:pBdr>
          <w:top w:val="none" w:color="000000" w:sz="4" w:space="0"/>
          <w:left w:val="none" w:color="000000" w:sz="4" w:space="0"/>
          <w:bottom w:val="none" w:color="000000" w:sz="4" w:space="0"/>
          <w:right w:val="none" w:color="000000" w:sz="4" w:space="0"/>
        </w:pBdr>
        <w:spacing/>
        <w:ind w:right="0" w:hanging="360" w:left="360"/>
        <w:jc w:val="both"/>
        <w:rPr/>
      </w:pPr>
      <w:r>
        <w:rPr>
          <w:rFonts w:ascii="Times New Roman" w:hAnsi="Times New Roman" w:eastAsia="Times New Roman" w:cs="Times New Roman"/>
          <w:color w:val="000000"/>
          <w:sz w:val="24"/>
        </w:rPr>
        <w:t xml:space="preserve"> </w:t>
      </w:r>
      <w:r/>
    </w:p>
    <w:p>
      <w:pPr>
        <w:numPr>
          <w:ilvl w:val="3"/>
          <w:numId w:val="39"/>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b/>
          <w:color w:val="000000"/>
          <w:sz w:val="24"/>
        </w:rPr>
        <w:t xml:space="preserve">Phụ lục hoặc phụ lục HĐDVTĐG</w:t>
      </w:r>
      <w:r>
        <w:rPr>
          <w:rFonts w:ascii="Times New Roman" w:hAnsi="Times New Roman" w:eastAsia="Times New Roman" w:cs="Times New Roman"/>
          <w:color w:val="000000"/>
          <w:sz w:val="24"/>
        </w:rPr>
        <w:t xml:space="preserve">: Có nghĩa văn bản thoả thuận về việc sửa đổi, bổ sung một hoặc một số nội dung của HĐDVTĐG này. Phụ lục/Phụ lục HĐDVTĐG là một phần không tách rời của HĐDVTĐG này.</w:t>
      </w:r>
      <w:r/>
    </w:p>
    <w:p>
      <w:pPr>
        <w:pBdr>
          <w:top w:val="none" w:color="000000" w:sz="4" w:space="0"/>
          <w:left w:val="none" w:color="000000" w:sz="4" w:space="0"/>
          <w:bottom w:val="none" w:color="000000" w:sz="4" w:space="0"/>
          <w:right w:val="none" w:color="000000" w:sz="4" w:space="0"/>
        </w:pBdr>
        <w:spacing/>
        <w:ind w:right="0" w:hanging="360" w:left="360"/>
        <w:jc w:val="both"/>
        <w:rPr/>
      </w:pPr>
      <w:r>
        <w:rPr>
          <w:rFonts w:ascii="Times New Roman" w:hAnsi="Times New Roman" w:eastAsia="Times New Roman" w:cs="Times New Roman"/>
          <w:color w:val="000000"/>
          <w:sz w:val="24"/>
        </w:rPr>
        <w:t xml:space="preserve"> </w:t>
      </w:r>
      <w:r/>
    </w:p>
    <w:p>
      <w:pPr>
        <w:numPr>
          <w:ilvl w:val="3"/>
          <w:numId w:val="39"/>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b/>
          <w:color w:val="000000"/>
          <w:sz w:val="24"/>
        </w:rPr>
        <w:t xml:space="preserve">Thông tin mật</w:t>
      </w:r>
      <w:r>
        <w:rPr>
          <w:rFonts w:ascii="Times New Roman" w:hAnsi="Times New Roman" w:eastAsia="Times New Roman" w:cs="Times New Roman"/>
          <w:color w:val="000000"/>
          <w:sz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w:t>
      </w:r>
      <w:r>
        <w:rPr>
          <w:rFonts w:ascii="Times New Roman" w:hAnsi="Times New Roman" w:eastAsia="Times New Roman" w:cs="Times New Roman"/>
          <w:color w:val="000000"/>
          <w:sz w:val="24"/>
        </w:rPr>
        <w:t xml:space="preserve"> B mà Bên B có được trong quá trình thực hiện các dịch vụ quy định tại HĐDVTĐG này.</w:t>
      </w:r>
      <w:r/>
    </w:p>
    <w:p>
      <w:pPr>
        <w:pBdr>
          <w:top w:val="none" w:color="000000" w:sz="4" w:space="0"/>
          <w:left w:val="none" w:color="000000" w:sz="4" w:space="0"/>
          <w:bottom w:val="none" w:color="000000" w:sz="4" w:space="0"/>
          <w:right w:val="none" w:color="000000" w:sz="4" w:space="0"/>
        </w:pBdr>
        <w:spacing/>
        <w:ind w:right="0" w:firstLine="0" w:left="720"/>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b/>
          <w:color w:val="000000"/>
          <w:sz w:val="24"/>
        </w:rPr>
        <w:t xml:space="preserve">ĐIỀU 1: NỘI DUNG HĐDVTĐG </w:t>
      </w:r>
      <w:r/>
    </w:p>
    <w:p>
      <w:pPr>
        <w:numPr>
          <w:ilvl w:val="1"/>
          <w:numId w:val="40"/>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b/>
          <w:color w:val="000000"/>
          <w:sz w:val="24"/>
        </w:rPr>
        <w:t xml:space="preserve">Tài sản thẩm định giá</w:t>
      </w:r>
      <w:r>
        <w:rPr>
          <w:rFonts w:ascii="Times New Roman" w:hAnsi="Times New Roman" w:eastAsia="Times New Roman" w:cs="Times New Roman"/>
          <w:b/>
          <w:color w:val="000000"/>
          <w:spacing w:val="-6"/>
          <w:sz w:val="24"/>
        </w:rPr>
        <w:t xml:space="preserve">: </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720"/>
        <w:jc w:val="both"/>
        <w:rPr/>
      </w:pPr>
      <w:r>
        <w:rPr>
          <w:rFonts w:ascii="Times New Roman" w:hAnsi="Times New Roman" w:eastAsia="Times New Roman" w:cs="Times New Roman"/>
          <w:b/>
          <w:color w:val="000000"/>
          <w:sz w:val="24"/>
        </w:rPr>
        <w:t xml:space="preserve">Tài sản 01</w:t>
      </w:r>
      <w:r>
        <w:rPr>
          <w:rFonts w:ascii="Times New Roman" w:hAnsi="Times New Roman" w:eastAsia="Times New Roman" w:cs="Times New Roman"/>
          <w:color w:val="000000"/>
          <w:sz w:val="24"/>
        </w:rPr>
        <w:t xml:space="preserve">: Quyền sử dụng đất tại thửa đất số: 522, tờ bản đồ số: 55, có địa chỉ: Thôn Yên Ninh, xã Hiền Ninh, huyện Sóc Sơn, thành phố Hà Nội (nay là xã Nội Bài, thành phố Hà Nội) theo Giấy chứng nhận quyền sử dụng đất, quyền sở hữu nhà ở và tài sản khác gắn liền v</w:t>
      </w:r>
      <w:r>
        <w:rPr>
          <w:rFonts w:ascii="Times New Roman" w:hAnsi="Times New Roman" w:eastAsia="Times New Roman" w:cs="Times New Roman"/>
          <w:color w:val="000000"/>
          <w:sz w:val="24"/>
        </w:rPr>
        <w:t xml:space="preserve">ới đất số: DQ 773947, Số vào sổ cấp GCN: CN 01464 do Chi nhánh văn phòng đăng ký đất đai Hà Nội cấp ngày 25/11/2024; chủ sử dụng đất là Ông Vũ Văn Hạnh và Bà Trần Thị Trang;</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720"/>
        <w:jc w:val="both"/>
        <w:rPr/>
      </w:pPr>
      <w:r>
        <w:rPr>
          <w:rFonts w:ascii="Times New Roman" w:hAnsi="Times New Roman" w:eastAsia="Times New Roman" w:cs="Times New Roman"/>
          <w:b/>
          <w:color w:val="000000"/>
          <w:sz w:val="24"/>
        </w:rPr>
        <w:t xml:space="preserve">Tài sản 02</w:t>
      </w:r>
      <w:r>
        <w:rPr>
          <w:rFonts w:ascii="Times New Roman" w:hAnsi="Times New Roman" w:eastAsia="Times New Roman" w:cs="Times New Roman"/>
          <w:color w:val="000000"/>
          <w:sz w:val="24"/>
        </w:rPr>
        <w:t xml:space="preserve">: Quyền sử dụng đất tại thửa đất số: 520, tờ bản đồ số: 55, có địa chỉ: Thôn Yên Ninh, xã Hiền Ninh, huyện Sóc Sơn, thành phố Hà Nội (nay là xã Nội Bài, thành phố Hà Nội) theo Giấy chứng nhận quyền sử dụng đất, quyền sở hữu nhà ở và tài sản khác gắn liền v</w:t>
      </w:r>
      <w:r>
        <w:rPr>
          <w:rFonts w:ascii="Times New Roman" w:hAnsi="Times New Roman" w:eastAsia="Times New Roman" w:cs="Times New Roman"/>
          <w:color w:val="000000"/>
          <w:sz w:val="24"/>
        </w:rPr>
        <w:t xml:space="preserve">ới đất số: DO 413959, Số vào sổ cấp GCN: CN 01346 do Chi nhánh văn phòng đăng ký đất đai Hà Nội cấp ngày 08/11/2024; chủ sử dụng đất là Ông Vũ Văn Hạnh và Bà Trần Thị Trang.</w:t>
      </w:r>
      <w:r/>
    </w:p>
    <w:p>
      <w:pPr>
        <w:numPr>
          <w:ilvl w:val="1"/>
          <w:numId w:val="40"/>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b/>
          <w:color w:val="000000"/>
          <w:sz w:val="24"/>
        </w:rPr>
        <w:t xml:space="preserve">Nội dung và phạm vi công việc</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Bên A đề nghị và Bên B đồng ý cung cấp dịch vụ thẩm định giá đối với các TSTĐG như đã liệt kê tại mục 1 của Điều này theo đúng quy định của pháp luật hiện hành.</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Việc định giá của Bên B phải được tiến hành độc lập, khách quan, trung thực và tuân thủ, phù hợp với quy định pháp luật thẩm định giá dựa trên các tiêu chuẩn kỹ thuật, tính chất, vị trí, quy mô, thực trạng của tài sản, giá thị trường tại thời điểm định giá</w:t>
      </w:r>
      <w:r>
        <w:rPr>
          <w:rFonts w:ascii="Times New Roman" w:hAnsi="Times New Roman" w:eastAsia="Times New Roman" w:cs="Times New Roman"/>
          <w:color w:val="000000"/>
          <w:spacing w:val="-4"/>
          <w:sz w:val="24"/>
        </w:rPr>
        <w:t xml:space="preserve">.</w:t>
      </w:r>
      <w:r/>
    </w:p>
    <w:p>
      <w:pPr>
        <w:numPr>
          <w:ilvl w:val="1"/>
          <w:numId w:val="40"/>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b/>
          <w:color w:val="000000"/>
          <w:sz w:val="24"/>
        </w:rPr>
        <w:t xml:space="preserve">Thời điểm thẩm định giá: </w:t>
      </w:r>
      <w:r>
        <w:rPr>
          <w:rFonts w:ascii="Times New Roman" w:hAnsi="Times New Roman" w:eastAsia="Times New Roman" w:cs="Times New Roman"/>
          <w:color w:val="000000"/>
          <w:sz w:val="24"/>
        </w:rPr>
        <w:t xml:space="preserve">Tháng 5 năm 2026.</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b/>
          <w:color w:val="000000"/>
          <w:sz w:val="24"/>
        </w:rPr>
        <w:t xml:space="preserve">ĐIỀU 2: MỤC ĐÍCH THẨM ĐỊNH GIÁ</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720"/>
        <w:jc w:val="both"/>
        <w:rPr/>
      </w:pPr>
      <w:r>
        <w:rPr>
          <w:rFonts w:ascii="Times New Roman" w:hAnsi="Times New Roman" w:eastAsia="Times New Roman" w:cs="Times New Roman"/>
          <w:color w:val="000000"/>
          <w:spacing w:val="-2"/>
          <w:sz w:val="24"/>
        </w:rPr>
        <w:t xml:space="preserve">Kết quả thẩm định giá để khách hàng tham khảo giá trị tài sản phục vụ công tác  vay vốn tại tổ chức tín dụng</w:t>
      </w:r>
      <w:r>
        <w:rPr>
          <w:rFonts w:ascii="Times New Roman" w:hAnsi="Times New Roman" w:eastAsia="Times New Roman" w:cs="Times New Roman"/>
          <w:color w:val="000000"/>
          <w:sz w:val="24"/>
        </w:rPr>
        <w:t xml:space="preserve">.</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b/>
          <w:color w:val="000000"/>
          <w:spacing w:val="-8"/>
          <w:sz w:val="24"/>
        </w:rPr>
        <w:t xml:space="preserve">ĐIỀU 3: THỜI GIAN VÀ PHÍ DỊCH VỤ THẨM ĐỊNH GIÁ </w:t>
      </w:r>
      <w:r/>
    </w:p>
    <w:p>
      <w:pPr>
        <w:pBdr>
          <w:top w:val="none" w:color="000000" w:sz="4" w:space="0"/>
          <w:left w:val="none" w:color="000000" w:sz="4" w:space="0"/>
          <w:bottom w:val="none" w:color="000000" w:sz="4" w:space="0"/>
          <w:right w:val="none" w:color="000000" w:sz="4" w:space="0"/>
        </w:pBdr>
        <w:spacing w:after="120" w:before="120" w:line="312" w:lineRule="auto"/>
        <w:ind w:right="0" w:hanging="709" w:left="709"/>
        <w:jc w:val="both"/>
        <w:rPr/>
      </w:pPr>
      <w:r>
        <w:rPr>
          <w:rFonts w:ascii="Times New Roman" w:hAnsi="Times New Roman" w:eastAsia="Times New Roman" w:cs="Times New Roman"/>
          <w:b/>
          <w:color w:val="000000"/>
          <w:sz w:val="24"/>
        </w:rPr>
        <w:t xml:space="preserve">3.1.</w:t>
        <w:tab/>
        <w:t xml:space="preserve">Thời gian thẩm định giá</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709"/>
        <w:jc w:val="both"/>
        <w:rPr/>
      </w:pPr>
      <w:r>
        <w:rPr>
          <w:rFonts w:ascii="Times New Roman" w:hAnsi="Times New Roman" w:eastAsia="Times New Roman" w:cs="Times New Roman"/>
          <w:color w:val="000000"/>
          <w:sz w:val="24"/>
        </w:rPr>
        <w:t xml:space="preserve">Bên B tiến hành công việc thẩm định và trả lời kết </w:t>
      </w:r>
      <w:r>
        <w:rPr>
          <w:rFonts w:ascii="Times New Roman" w:hAnsi="Times New Roman" w:eastAsia="Times New Roman" w:cs="Times New Roman"/>
          <w:color w:val="000000"/>
          <w:spacing w:val="-4"/>
          <w:sz w:val="24"/>
        </w:rPr>
        <w:t xml:space="preserve">quả thẩm định giá bằng văn bản chậm nhất sau 05 (Năm) ngày làm việc (kể từ khi Bên A bàn giao cho Bên B đầy đủ hồ sơ pháp lý có liên quan về TSTĐG).</w:t>
      </w:r>
      <w:r/>
    </w:p>
    <w:p>
      <w:pPr>
        <w:pBdr>
          <w:top w:val="none" w:color="000000" w:sz="4" w:space="0"/>
          <w:left w:val="none" w:color="000000" w:sz="4" w:space="0"/>
          <w:bottom w:val="none" w:color="000000" w:sz="4" w:space="0"/>
          <w:right w:val="none" w:color="000000" w:sz="4" w:space="0"/>
        </w:pBdr>
        <w:spacing w:after="120" w:before="120" w:line="312" w:lineRule="auto"/>
        <w:ind w:right="0" w:hanging="709" w:left="709"/>
        <w:jc w:val="both"/>
        <w:rPr/>
      </w:pPr>
      <w:r>
        <w:rPr>
          <w:rFonts w:ascii="Times New Roman" w:hAnsi="Times New Roman" w:eastAsia="Times New Roman" w:cs="Times New Roman"/>
          <w:b/>
          <w:color w:val="000000"/>
          <w:sz w:val="24"/>
        </w:rPr>
        <w:t xml:space="preserve">3.2.</w:t>
        <w:tab/>
        <w:t xml:space="preserve">Phí dịch vụ thẩm định giá</w:t>
      </w:r>
      <w:r/>
    </w:p>
    <w:tbl>
      <w:tblPr>
        <w:tblStyle w:val="814"/>
        <w:tblInd w:w="0"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5057"/>
        <w:gridCol w:w="530"/>
        <w:gridCol w:w="3786"/>
      </w:tblGrid>
      <w:tr>
        <w:trPr>
          <w:trHeight w:val="477"/>
        </w:trPr>
        <w:tc>
          <w:tcPr>
            <w:tcBorders/>
            <w:tcMar>
              <w:left w:w="108" w:type="dxa"/>
              <w:top w:w="0" w:type="dxa"/>
              <w:right w:w="108" w:type="dxa"/>
              <w:bottom w:w="0" w:type="dxa"/>
            </w:tcMar>
            <w:tcW w:w="5057"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color w:val="000000"/>
                <w:sz w:val="24"/>
              </w:rPr>
              <w:t xml:space="preserve"> </w:t>
            </w:r>
            <w:r/>
          </w:p>
        </w:tc>
        <w:tc>
          <w:tcPr>
            <w:tcBorders/>
            <w:tcMar>
              <w:left w:w="108" w:type="dxa"/>
              <w:top w:w="0" w:type="dxa"/>
              <w:right w:w="108" w:type="dxa"/>
              <w:bottom w:w="0" w:type="dxa"/>
            </w:tcMar>
            <w:tcW w:w="530"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3786"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right"/>
              <w:rPr/>
            </w:pPr>
            <w:r>
              <w:rPr>
                <w:rFonts w:ascii="Times New Roman" w:hAnsi="Times New Roman" w:eastAsia="Times New Roman" w:cs="Times New Roman"/>
                <w:b/>
                <w:color w:val="000000"/>
                <w:sz w:val="24"/>
              </w:rPr>
              <w:t xml:space="preserve">VND</w:t>
            </w:r>
            <w:r/>
          </w:p>
        </w:tc>
      </w:tr>
      <w:tr>
        <w:trPr>
          <w:trHeight w:val="477"/>
        </w:trPr>
        <w:tc>
          <w:tcPr>
            <w:tcBorders/>
            <w:tcMar>
              <w:left w:w="108" w:type="dxa"/>
              <w:top w:w="0" w:type="dxa"/>
              <w:right w:w="108" w:type="dxa"/>
              <w:bottom w:w="0" w:type="dxa"/>
            </w:tcMar>
            <w:tcW w:w="50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color w:val="000000"/>
                <w:sz w:val="24"/>
              </w:rPr>
              <w:t xml:space="preserve">Phí thẩm định (*)</w:t>
            </w:r>
            <w:r/>
          </w:p>
        </w:tc>
        <w:tc>
          <w:tcPr>
            <w:tcBorders/>
            <w:tcMar>
              <w:left w:w="108" w:type="dxa"/>
              <w:top w:w="0" w:type="dxa"/>
              <w:right w:w="108" w:type="dxa"/>
              <w:bottom w:w="0" w:type="dxa"/>
            </w:tcMar>
            <w:tcW w:w="530"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3786" w:type="dxa"/>
            <w:vAlign w:val="bottom"/>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right"/>
              <w:rPr/>
            </w:pPr>
            <w:r>
              <w:rPr>
                <w:rFonts w:ascii="Times New Roman" w:hAnsi="Times New Roman" w:eastAsia="Times New Roman" w:cs="Times New Roman"/>
                <w:color w:val="000000"/>
                <w:sz w:val="24"/>
              </w:rPr>
              <w:t xml:space="preserve">2.777.778</w:t>
            </w:r>
            <w:r/>
          </w:p>
        </w:tc>
      </w:tr>
      <w:tr>
        <w:trPr>
          <w:trHeight w:val="477"/>
        </w:trPr>
        <w:tc>
          <w:tcPr>
            <w:tcBorders/>
            <w:tcMar>
              <w:left w:w="108" w:type="dxa"/>
              <w:top w:w="0" w:type="dxa"/>
              <w:right w:w="108" w:type="dxa"/>
              <w:bottom w:w="0" w:type="dxa"/>
            </w:tcMar>
            <w:tcW w:w="50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color w:val="000000"/>
                <w:sz w:val="24"/>
              </w:rPr>
              <w:t xml:space="preserve">VAT 8%</w:t>
            </w:r>
            <w:r/>
          </w:p>
        </w:tc>
        <w:tc>
          <w:tcPr>
            <w:tcBorders/>
            <w:tcMar>
              <w:left w:w="108" w:type="dxa"/>
              <w:top w:w="0" w:type="dxa"/>
              <w:right w:w="108" w:type="dxa"/>
              <w:bottom w:w="0" w:type="dxa"/>
            </w:tcMar>
            <w:tcW w:w="530"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3786" w:type="dxa"/>
            <w:vAlign w:val="bottom"/>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right"/>
              <w:rPr/>
            </w:pPr>
            <w:r>
              <w:rPr>
                <w:rFonts w:ascii="Times New Roman" w:hAnsi="Times New Roman" w:eastAsia="Times New Roman" w:cs="Times New Roman"/>
                <w:color w:val="000000"/>
                <w:sz w:val="24"/>
              </w:rPr>
              <w:t xml:space="preserve">222.222</w:t>
            </w:r>
            <w:r/>
          </w:p>
        </w:tc>
      </w:tr>
      <w:tr>
        <w:trPr>
          <w:trHeight w:val="477"/>
        </w:trPr>
        <w:tc>
          <w:tcPr>
            <w:tcBorders/>
            <w:tcMar>
              <w:left w:w="108" w:type="dxa"/>
              <w:top w:w="0" w:type="dxa"/>
              <w:right w:w="108" w:type="dxa"/>
              <w:bottom w:w="0" w:type="dxa"/>
            </w:tcMar>
            <w:tcW w:w="5057"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b/>
                <w:i/>
                <w:color w:val="000000"/>
                <w:sz w:val="24"/>
              </w:rPr>
              <w:t xml:space="preserve">Tổng cộng:</w:t>
            </w:r>
            <w:r/>
          </w:p>
        </w:tc>
        <w:tc>
          <w:tcPr>
            <w:tcBorders/>
            <w:tcMar>
              <w:left w:w="108" w:type="dxa"/>
              <w:top w:w="0" w:type="dxa"/>
              <w:right w:w="108" w:type="dxa"/>
              <w:bottom w:w="0" w:type="dxa"/>
            </w:tcMar>
            <w:tcW w:w="530"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b/>
                <w:i/>
                <w:color w:val="000000"/>
                <w:sz w:val="24"/>
              </w:rPr>
              <w:t xml:space="preserve">:</w:t>
            </w:r>
            <w:r/>
          </w:p>
        </w:tc>
        <w:tc>
          <w:tcPr>
            <w:tcBorders/>
            <w:tcMar>
              <w:left w:w="108" w:type="dxa"/>
              <w:top w:w="0" w:type="dxa"/>
              <w:right w:w="108" w:type="dxa"/>
              <w:bottom w:w="0" w:type="dxa"/>
            </w:tcMar>
            <w:tcW w:w="3786" w:type="dxa"/>
            <w:vAlign w:val="bottom"/>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right"/>
              <w:rPr/>
            </w:pPr>
            <w:r>
              <w:rPr>
                <w:rFonts w:ascii="Times New Roman" w:hAnsi="Times New Roman" w:eastAsia="Times New Roman" w:cs="Times New Roman"/>
                <w:b/>
                <w:color w:val="000000"/>
                <w:sz w:val="24"/>
              </w:rPr>
              <w:t xml:space="preserve">3.000.000</w:t>
            </w:r>
            <w:r/>
          </w:p>
        </w:tc>
      </w:tr>
    </w:tbl>
    <w:p>
      <w:pPr>
        <w:pBdr>
          <w:top w:val="none" w:color="000000" w:sz="4" w:space="0"/>
          <w:left w:val="none" w:color="000000" w:sz="4" w:space="0"/>
          <w:bottom w:val="none" w:color="000000" w:sz="4" w:space="0"/>
          <w:right w:val="none" w:color="000000" w:sz="4" w:space="0"/>
        </w:pBdr>
        <w:spacing w:line="312" w:lineRule="auto"/>
        <w:ind w:right="0" w:firstLine="567" w:left="0"/>
        <w:jc w:val="center"/>
        <w:rPr/>
      </w:pPr>
      <w:r>
        <w:rPr>
          <w:rFonts w:ascii="Times New Roman" w:hAnsi="Times New Roman" w:eastAsia="Times New Roman" w:cs="Times New Roman"/>
          <w:i/>
          <w:color w:val="000000"/>
          <w:sz w:val="24"/>
        </w:rPr>
        <w:t xml:space="preserve"> (Bằng chữ: Ba triệu đồng)./.</w:t>
      </w:r>
      <w:r/>
    </w:p>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b/>
          <w:color w:val="000000"/>
          <w:spacing w:val="-8"/>
          <w:sz w:val="4"/>
        </w:rPr>
        <w:t xml:space="preserve"> </w:t>
      </w:r>
      <w:r/>
    </w:p>
    <w:p>
      <w:pPr>
        <w:pBdr>
          <w:top w:val="none" w:color="000000" w:sz="4" w:space="0"/>
          <w:left w:val="none" w:color="000000" w:sz="4" w:space="0"/>
          <w:bottom w:val="none" w:color="000000" w:sz="4" w:space="0"/>
          <w:right w:val="none" w:color="000000" w:sz="4" w:space="0"/>
        </w:pBdr>
        <w:spacing w:after="120" w:before="120" w:line="312" w:lineRule="auto"/>
        <w:ind w:right="0" w:firstLine="720" w:left="0"/>
        <w:jc w:val="both"/>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pacing w:val="-8"/>
          <w:sz w:val="24"/>
        </w:rPr>
        <w:t xml:space="preserve">Phí dịch vụ trên chưa bao gồm chi phí khảo sát và các phụ phí khác (nếu có)</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b/>
          <w:color w:val="000000"/>
          <w:spacing w:val="-8"/>
          <w:sz w:val="24"/>
        </w:rPr>
        <w:t xml:space="preserve">ĐIỀU 4:</w:t>
      </w:r>
      <w:r>
        <w:rPr>
          <w:rFonts w:ascii="Times New Roman" w:hAnsi="Times New Roman" w:eastAsia="Times New Roman" w:cs="Times New Roman"/>
          <w:color w:val="000000"/>
          <w:sz w:val="24"/>
        </w:rPr>
        <w:t xml:space="preserve"> </w:t>
      </w:r>
      <w:r>
        <w:rPr>
          <w:rFonts w:ascii="Times New Roman" w:hAnsi="Times New Roman" w:eastAsia="Times New Roman" w:cs="Times New Roman"/>
          <w:b/>
          <w:color w:val="000000"/>
          <w:spacing w:val="-8"/>
          <w:sz w:val="24"/>
        </w:rPr>
        <w:t xml:space="preserve">PHƯƠNG THỨC THANH TOÁN</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Phương thức thanh toán: Tiền mặt hoặc chuyển khoản.</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w:t>
      </w:r>
      <w:r>
        <w:rPr>
          <w:rFonts w:ascii="Times New Roman" w:hAnsi="Times New Roman" w:eastAsia="Times New Roman" w:cs="Times New Roman"/>
          <w:color w:val="000000"/>
          <w:spacing w:val="-4"/>
          <w:sz w:val="24"/>
        </w:rPr>
        <w:t xml:space="preserve"> Chứng thư thẩm định và hóa đơn tài chính hợp lệ cho Bên A.</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Các khoản tạm ứng thực hiện HĐDVTĐG (nếu có) sẽ được Bên B gửi tới Bên A theo mẫu đề nghị tạm ứng của Bên B;</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Mọi khoản phí được quy định tại HĐDVTĐG và các khoản tạm ứng phí (nếu có) được thanh toán vào tài khoản ngân hàng của Bên A theo thông tin sau:</w:t>
      </w:r>
      <w:r/>
    </w:p>
    <w:p>
      <w:pPr>
        <w:numPr>
          <w:ilvl w:val="0"/>
          <w:numId w:val="42"/>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Tên tài khoản: Công ty CP thẩm định và Đầu tư Tài chính Hoa Sen</w:t>
      </w:r>
      <w:r/>
    </w:p>
    <w:p>
      <w:pPr>
        <w:numPr>
          <w:ilvl w:val="0"/>
          <w:numId w:val="42"/>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Số tài khoản: 1505112366666</w:t>
      </w:r>
      <w:r/>
    </w:p>
    <w:p>
      <w:pPr>
        <w:numPr>
          <w:ilvl w:val="0"/>
          <w:numId w:val="42"/>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Ngân hàng: Agribank chi nhánh Hà Nội II</w:t>
      </w:r>
      <w:r/>
    </w:p>
    <w:p>
      <w:pPr>
        <w:numPr>
          <w:ilvl w:val="0"/>
          <w:numId w:val="42"/>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Mã Citad: 01204035</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b/>
          <w:color w:val="000000"/>
          <w:sz w:val="24"/>
        </w:rPr>
        <w:t xml:space="preserve">ĐIỀU 5: TRÁCH NHIỆM CỦA CÁC BÊN</w:t>
      </w:r>
      <w:r/>
    </w:p>
    <w:p>
      <w:pPr>
        <w:pBdr>
          <w:top w:val="none" w:color="000000" w:sz="4" w:space="0"/>
          <w:left w:val="none" w:color="000000" w:sz="4" w:space="0"/>
          <w:bottom w:val="none" w:color="000000" w:sz="4" w:space="0"/>
          <w:right w:val="none" w:color="000000" w:sz="4" w:space="0"/>
        </w:pBdr>
        <w:spacing w:after="120" w:before="120" w:line="312" w:lineRule="auto"/>
        <w:ind w:right="0" w:hanging="709" w:left="709"/>
        <w:jc w:val="both"/>
        <w:rPr/>
      </w:pPr>
      <w:r>
        <w:rPr>
          <w:rFonts w:ascii="Times New Roman" w:hAnsi="Times New Roman" w:eastAsia="Times New Roman" w:cs="Times New Roman"/>
          <w:b/>
          <w:color w:val="000000"/>
          <w:sz w:val="24"/>
        </w:rPr>
        <w:t xml:space="preserve">5.1. </w:t>
        <w:tab/>
        <w:t xml:space="preserve">Quyền và Trách nhiệm của Bên A</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Cung cấp cho bên B đầy đủ hồ sơ kinh tế, kỹ thuật và pháp lý của tài sản. Chịu hoàn toàn trách nhiệm về tính pháp lý của hồ sơ và tính chính xác, trung thực của các thông tin đã cung cấp.</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Bên B tiến hành </w:t>
      </w:r>
      <w:r>
        <w:rPr>
          <w:rFonts w:ascii="Times New Roman" w:hAnsi="Times New Roman" w:eastAsia="Times New Roman" w:cs="Times New Roman"/>
          <w:color w:val="000000"/>
          <w:sz w:val="24"/>
        </w:rPr>
        <w:t xml:space="preserve">việc thẩm định giá có hiệu quả, phù hợp quy định pháp luật về thẩm định giá.</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Bên A hoặc người được Bên A cử có trách nhiệm hướng dẫn Bên B thực hiện khảo sát hiện trạng tài sản, đặc tính kỹ thuật của TSTĐG giá tại thời điểm khảo sát tài sản và phải chịu trách nhiệm với các hướng dẫn này.</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Có trách nhiệm ký các BBKSTS theo mẫu và nội dung đã được trình bày trong BBKSTS phù hợp với hiện trạng tại thời điểm khảo sát. Trường hợp Bên B có yêu cầu mà bên A vì bất kỳ lý do nào khác mà không thực hiện ký xác nhận BBKSTS của Bên B sau khi CT, BCTĐG </w:t>
      </w:r>
      <w:r>
        <w:rPr>
          <w:rFonts w:ascii="Times New Roman" w:hAnsi="Times New Roman" w:eastAsia="Times New Roman" w:cs="Times New Roman"/>
          <w:color w:val="000000"/>
          <w:sz w:val="24"/>
        </w:rPr>
        <w:t xml:space="preserve">đã được ban hành bởi Bên B thì BBKSTS này được coi là đã được thống nhất và xác nhận giữa Bên A và Bên B, mọi thông tin được trình bày trên BBKSTS của Bên B mặc nhiên được coi là đã trình bày phù hợp với thực trạng tài sản được khảo sát tại thời điểm khảo </w:t>
      </w:r>
      <w:r>
        <w:rPr>
          <w:rFonts w:ascii="Times New Roman" w:hAnsi="Times New Roman" w:eastAsia="Times New Roman" w:cs="Times New Roman"/>
          <w:color w:val="000000"/>
          <w:sz w:val="24"/>
        </w:rPr>
        <w:t xml:space="preserve">sát tài sản và Bên A phải hoàn toàn chịu trách nhiệm với các thông tin này với vai trò là người hướng dẫn khảo sát.</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w:t>
      </w:r>
      <w:r>
        <w:rPr>
          <w:rFonts w:ascii="Times New Roman" w:hAnsi="Times New Roman" w:eastAsia="Times New Roman" w:cs="Times New Roman"/>
          <w:color w:val="000000"/>
          <w:sz w:val="24"/>
        </w:rPr>
        <w:t xml:space="preserve">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w:t>
      </w:r>
      <w:r>
        <w:rPr>
          <w:rFonts w:ascii="Times New Roman" w:hAnsi="Times New Roman" w:eastAsia="Times New Roman" w:cs="Times New Roman"/>
          <w:color w:val="000000"/>
          <w:sz w:val="24"/>
        </w:rPr>
        <w:t xml:space="preserve">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Bên A cam kết trong suốt quá trình thẩm định giá chỉ thực hiện thanh toán phần phí thẩm định giá đã được nêu tại Điều 3 HĐDVTĐG và PLHĐDVTĐG (nếu có) trực tiếp vào tài khoản của Bên B đã được ghi tại Điều 4 của HĐDVTĐG này. Mọi khoản chi phí mà Bên A thực </w:t>
      </w:r>
      <w:r>
        <w:rPr>
          <w:rFonts w:ascii="Times New Roman" w:hAnsi="Times New Roman" w:eastAsia="Times New Roman" w:cs="Times New Roman"/>
          <w:color w:val="000000"/>
          <w:sz w:val="24"/>
        </w:rPr>
        <w:t xml:space="preserve">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w:t>
      </w:r>
      <w:r>
        <w:rPr>
          <w:rFonts w:ascii="Times New Roman" w:hAnsi="Times New Roman" w:eastAsia="Times New Roman" w:cs="Times New Roman"/>
          <w:color w:val="000000"/>
          <w:sz w:val="24"/>
        </w:rPr>
        <w:t xml:space="preserve">ả thẩm định giá, làm sai lệch kết quả thẩm định giá (nếu có) thì mọi trách nhiệm có liên quan (bao gồm cả trách nhiệm pháp lý, trách nhiệm về nghĩa vụ kinh tế, tài chính (nếu có)) đến kết quả thẩm định giá thuộc về Bên A và các thành viên bị chi phối tính </w:t>
      </w:r>
      <w:r>
        <w:rPr>
          <w:rFonts w:ascii="Times New Roman" w:hAnsi="Times New Roman" w:eastAsia="Times New Roman" w:cs="Times New Roman"/>
          <w:color w:val="000000"/>
          <w:sz w:val="24"/>
        </w:rPr>
        <w:t xml:space="preserve">độc lập, khách quan.</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Trước khi chấp nhận Bên B ban hành CT, BCTĐG, Bên A có trách nhiệm phải thực hiện đọc kỹ các nội dung và chấp nhận toàn bộ các nội dung đã được ghi trong BBKSTS tài sản, các phương thức, các thông tin đã được trình bày, các tính toán, các ước tính, ước lượ</w:t>
      </w:r>
      <w:r>
        <w:rPr>
          <w:rFonts w:ascii="Times New Roman" w:hAnsi="Times New Roman" w:eastAsia="Times New Roman" w:cs="Times New Roman"/>
          <w:color w:val="000000"/>
          <w:sz w:val="24"/>
        </w:rPr>
        <w:t xml:space="preserve">ng, các ước đoán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w:t>
      </w:r>
      <w:r>
        <w:rPr>
          <w:rFonts w:ascii="Times New Roman" w:hAnsi="Times New Roman" w:eastAsia="Times New Roman" w:cs="Times New Roman"/>
          <w:color w:val="000000"/>
          <w:sz w:val="24"/>
        </w:rPr>
        <w:t xml:space="preserve"> được Bên B trình bày tại CT, BCTĐG mà bên Bên B đã thực hiện cung cấp và ban hành cho Bên A theo thỏa thuận tại HĐDVTĐG này. Nếu Bên A không thực hiện đọc, hiểu rõ và yêu cầu Bên B giải trình (nếu có) thì mọi trách nhiệm cuối cùng thuộc về Bên A.</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Sử dụng CT, BCTĐG do Bên B cung cấp đúng mục đích được ghi rõ trong HĐDVTĐG và các văn bản thẩm định giá. Nếu bên A sử dụng kết quả thẩm định giá sai mục đích thì phải chịu hoàn toàn trách nhiệm trước pháp luật.</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Trong trường hợp Bên A cố ý sử dụng chứng thư sai mục đích đã được quy định tại HĐDVTĐG và CT, BCTĐG mà các hành động này gây phương hại đến uy tín, danh dự của Bên B, thì Bên A phải thực hiện bồi thường cho Bên B những tổn hại này theo quy định của pháp l</w:t>
      </w:r>
      <w:r>
        <w:rPr>
          <w:rFonts w:ascii="Times New Roman" w:hAnsi="Times New Roman" w:eastAsia="Times New Roman" w:cs="Times New Roman"/>
          <w:color w:val="000000"/>
          <w:sz w:val="24"/>
        </w:rPr>
        <w:t xml:space="preserve">uật hiện hành (nếu có)</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CT, BCTĐG do Bên B phát hành không có giá trị thay thế cho bất kỳ loại giấy chứng nhận quyền sở hữu tài sản nào.</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Chịu trách nhiệm về việc thanh toán phí dịch vụ thẩm định giá cho Bên B theo quy định tại Điều 4 của HĐDVTĐG này (kể cả trường hợp không sử dụng kết quả thẩm định). </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Được Bên B cung cấp 02 bộ CT, BCTĐG cho các TSTĐG giá được nêu tại Mục 1.1, Điều 1 HĐDVTĐG này bằng tiếng Việt. Các phụ phí in sao y bản chính CT, BCTĐG hoặc bản dịch ra các thứ tiếng ngoài tiếng Việt sẽ được hai bên thống nhất tại PLHĐDVTĐG khác (nếu có).</w:t>
      </w:r>
      <w:r/>
    </w:p>
    <w:p>
      <w:pPr>
        <w:pBdr>
          <w:top w:val="none" w:color="000000" w:sz="4" w:space="0"/>
          <w:left w:val="none" w:color="000000" w:sz="4" w:space="0"/>
          <w:bottom w:val="none" w:color="000000" w:sz="4" w:space="0"/>
          <w:right w:val="none" w:color="000000" w:sz="4" w:space="0"/>
        </w:pBdr>
        <w:spacing w:after="120" w:before="120" w:line="312" w:lineRule="auto"/>
        <w:ind w:right="0" w:hanging="709" w:left="709"/>
        <w:jc w:val="both"/>
        <w:rPr/>
      </w:pPr>
      <w:r>
        <w:rPr>
          <w:rFonts w:ascii="Times New Roman" w:hAnsi="Times New Roman" w:eastAsia="Times New Roman" w:cs="Times New Roman"/>
          <w:b/>
          <w:color w:val="000000"/>
          <w:sz w:val="24"/>
        </w:rPr>
        <w:t xml:space="preserve">5.2.     Quyền và trách nhiệm của Bên B</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Thực hiện việc thẩm định giá theo đề nghị Bên A đảm bảo tính khách quan, độc lập, chuyên nghiệp, thận trọng theo đúng các quy trình chuyên môn và quy định của pháp luật.</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 hướng dẫn khảo sát </w:t>
      </w:r>
      <w:r>
        <w:rPr>
          <w:rFonts w:ascii="Times New Roman" w:hAnsi="Times New Roman" w:eastAsia="Times New Roman" w:cs="Times New Roman"/>
          <w:color w:val="000000"/>
          <w:sz w:val="24"/>
        </w:rPr>
        <w:t xml:space="preserve">không đúng vị trí tài sản, hiện trạng kỹ thuật, cung cấp hồ sơ pháp lý thiếu trung thực…) hoặc do các điều kiện bất khả kháng như thiên tai, địch họa, dịch họa…(nếu có) gây ảnh hưởng hoặc ảnh hưởng nghiêm trọng đến giá trị của TSTĐG giá được ước tính thì k</w:t>
      </w:r>
      <w:r>
        <w:rPr>
          <w:rFonts w:ascii="Times New Roman" w:hAnsi="Times New Roman" w:eastAsia="Times New Roman" w:cs="Times New Roman"/>
          <w:color w:val="000000"/>
          <w:sz w:val="24"/>
        </w:rPr>
        <w:t xml:space="preserve">hông thuộc phạm vi trách nhiệm của Bên B.</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Bảo đảm bí mật các thông tin tài liệu, hồ sơ liên quan đến dự án thẩm định do Bên A cung cấp.</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Cấp cho Bên A 02 bản chính Chứng thư thẩm định giá.</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Chịu trách nhiệm pháp lý về giá trị của số lượng tài sản được thẩm định và số lượng văn bản ban hành về kết quả thẩm định.</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Được nhận đầy đủ các khoản phí theo HĐDVTĐG và các PLHĐDVTĐG (nếu có).</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Các trường hợp Bên B được quyền đơn phương thu hồi CT, BCTĐG, hủy CT, BCTĐG:</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Bên A không hoàn thành nghĩa vụ thanh toán hoặc chỉ hoàn thành tạm ứng hoặc thanh toán một phần theo quy định tại HĐDVTĐG và các PLHĐDVTĐG (nếu có). Trong trường hợp này, hợp đồng sẽ tự động hủy vô điều kiện và  CT, BCTĐG và các văn bản định giá kèm theo s</w:t>
      </w:r>
      <w:r>
        <w:rPr>
          <w:rFonts w:ascii="Times New Roman" w:hAnsi="Times New Roman" w:eastAsia="Times New Roman" w:cs="Times New Roman"/>
          <w:color w:val="000000"/>
          <w:sz w:val="24"/>
        </w:rPr>
        <w:t xml:space="preserve">ẽ tự động hủy vô kiều kiện và không có giá trị pháp lý mà không cần sự chấp thuận của Bên A bằng văn bản hoặc bất kỳ hình thức nào khác.</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Phát hiện Bên A sử dụng CT, BCTĐG sai mục đích tại bất kỳ thời điểm nào sau khi được Bên B ký, đóng dấu ban hành.</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Bên B phát hiện các hành vi cố ý của các bên liên quan ảnh hưởng đến tính độc lập, chính trực, khách quan (Thanh toán phí thẩm định giá ngoài HĐDVTĐG và các PLHĐDVTĐG (nếu có) cho các bên liên quan mà không được sự chấp nhận của Bên A bằng văn bản; cố ý cu</w:t>
      </w:r>
      <w:r>
        <w:rPr>
          <w:rFonts w:ascii="Times New Roman" w:hAnsi="Times New Roman" w:eastAsia="Times New Roman" w:cs="Times New Roman"/>
          <w:color w:val="000000"/>
          <w:sz w:val="24"/>
        </w:rPr>
        <w:t xml:space="preserve">ng cấp sai lệnh thông tin khảo sát thực trạng tài sản thẩm định giá; cung cấp hồ sơ pháp lý, kỹ thuật không trung thực) cố ý chi phối làm sai lệch nghiêm trọng kết quả thẩm định giá. </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Các trường hợp khác theo quy định của luật giá và các văn bản pháp luật khác có liên quan.</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Bên B có quyền không hoàn lại bất kỳ khoản phí nào cho Bên A và các bên liên quan nếu CT, BCTĐG thuộc các trường hợp Bên B được đơn phương thu hồi, thông báo hủy.</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b/>
          <w:color w:val="000000"/>
          <w:sz w:val="24"/>
        </w:rPr>
        <w:t xml:space="preserve">ĐIỀU 6: ĐIỀU KHOẢN THI HÀNH</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Hai bên cam kết tạo điều kiện thuận lợi cho nhau để thực hiện có hiệu quả các điều khoản đã ghi trong HĐDVTĐG này. Mọi thay đổi, bổ sung nội dung của HĐDVTĐG này phải được hai bên cùng thống nhất bằng văn bản.</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Trong quá trình thực hiện HĐDVTĐG 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w:t>
      </w:r>
      <w:r>
        <w:rPr>
          <w:rFonts w:ascii="Times New Roman" w:hAnsi="Times New Roman" w:eastAsia="Times New Roman" w:cs="Times New Roman"/>
          <w:color w:val="000000"/>
          <w:sz w:val="24"/>
        </w:rPr>
        <w:t xml:space="preserve">ấp có thẩm quyền. Quyết định của Toà án là quyết định cuối cùng buộc hai bên phải thực hiện.</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HĐDVTĐG này có hiệu lực kể từ ngày ký và được lập có 07 (bảy) trang và in làm 04 (bốn) bản, bên A giữ 02 (hai) bản bên B giữ 2 (hai) bản có giá trị pháp lý như nhau.</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HĐDVTĐG này sẽ tự động thanh lý sau khi bên B thanh toán phí thẩm định cho bên A hoặc thực hiện ký Biên bản nghiệm thu, thanh lý hợp đồng bởi hai bên tùy theo nhu cầu và điều kiện thực tế.</w:t>
      </w:r>
      <w:r/>
    </w:p>
    <w:p>
      <w:pPr>
        <w:pBdr>
          <w:top w:val="none" w:color="000000" w:sz="4" w:space="0"/>
          <w:left w:val="none" w:color="000000" w:sz="4" w:space="0"/>
          <w:bottom w:val="none" w:color="000000" w:sz="4" w:space="0"/>
          <w:right w:val="none" w:color="000000" w:sz="4" w:space="0"/>
        </w:pBdr>
        <w:spacing w:line="312" w:lineRule="auto"/>
        <w:ind w:right="0" w:firstLine="0" w:left="927"/>
        <w:jc w:val="both"/>
        <w:rPr/>
      </w:pPr>
      <w:r>
        <w:rPr>
          <w:rFonts w:ascii="Times New Roman" w:hAnsi="Times New Roman" w:eastAsia="Times New Roman" w:cs="Times New Roman"/>
          <w:color w:val="000000"/>
          <w:spacing w:val="-4"/>
          <w:sz w:val="24"/>
        </w:rPr>
        <w:t xml:space="preserve"> </w:t>
      </w:r>
      <w:r/>
    </w:p>
    <w:tbl>
      <w:tblPr>
        <w:tblStyle w:val="814"/>
        <w:tblInd w:w="0" w:type="dxa"/>
        <w:tblW w:w="5000" w:type="pct"/>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74402"/>
        <w:gridCol w:w="74522"/>
      </w:tblGrid>
      <w:tr>
        <w:trPr/>
        <w:tc>
          <w:tcPr>
            <w:tcBorders/>
            <w:tcMar>
              <w:left w:w="108" w:type="dxa"/>
              <w:top w:w="0" w:type="dxa"/>
              <w:right w:w="108" w:type="dxa"/>
              <w:bottom w:w="0" w:type="dxa"/>
            </w:tcMar>
            <w:tcW w:w="74402"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ĐẠI DIỆN BÊN A</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Vũ Văn Hạnh</w:t>
            </w:r>
            <w:r/>
          </w:p>
          <w:p>
            <w:pPr>
              <w:pBdr>
                <w:top w:val="none" w:color="000000" w:sz="4" w:space="0"/>
                <w:left w:val="none" w:color="000000" w:sz="4" w:space="0"/>
                <w:bottom w:val="none" w:color="000000" w:sz="4" w:space="0"/>
                <w:right w:val="none" w:color="000000" w:sz="4" w:space="0"/>
              </w:pBdr>
              <w:spacing w:line="312" w:lineRule="auto"/>
              <w:ind w:right="0" w:firstLine="0" w:left="0"/>
              <w:rPr/>
            </w:pPr>
            <w:r>
              <w:rPr>
                <w:rFonts w:ascii="Times New Roman" w:hAnsi="Times New Roman" w:eastAsia="Times New Roman" w:cs="Times New Roman"/>
                <w:b/>
                <w:color w:val="000000"/>
                <w:sz w:val="24"/>
              </w:rPr>
              <w:t xml:space="preserve">    </w:t>
            </w:r>
            <w:r/>
          </w:p>
        </w:tc>
        <w:tc>
          <w:tcPr>
            <w:tcBorders/>
            <w:tcMar>
              <w:left w:w="108" w:type="dxa"/>
              <w:top w:w="0" w:type="dxa"/>
              <w:right w:w="108" w:type="dxa"/>
              <w:bottom w:w="0" w:type="dxa"/>
            </w:tcMar>
            <w:tcW w:w="74522"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ĐẠI DIỆN BÊN B</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Vũ Văn Quân</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color w:val="000000"/>
                <w:sz w:val="24"/>
              </w:rPr>
              <w:t xml:space="preserve">Số thẻ thẩm định viên về giá: XII17.1825</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i/>
                <w:color w:val="000000"/>
                <w:sz w:val="24"/>
              </w:rPr>
              <w:t xml:space="preserve"> </w:t>
            </w:r>
            <w:r/>
          </w:p>
        </w:tc>
      </w:tr>
    </w:tbl>
    <w:p>
      <w:pPr>
        <w:pBdr>
          <w:top w:val="none" w:color="000000" w:sz="4" w:space="0"/>
          <w:left w:val="none" w:color="000000" w:sz="4" w:space="0"/>
          <w:bottom w:val="none" w:color="000000" w:sz="4" w:space="0"/>
          <w:right w:val="none" w:color="000000" w:sz="4" w:space="0"/>
        </w:pBdr>
        <w:spacing w:line="312" w:lineRule="auto"/>
        <w:ind w:right="0" w:firstLine="0" w:left="0"/>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rPr/>
      </w:pPr>
      <w:r>
        <w:rPr>
          <w:rFonts w:ascii="Times New Roman" w:hAnsi="Times New Roman" w:eastAsia="Times New Roman" w:cs="Times New Roman"/>
          <w:b/>
          <w:color w:val="000000"/>
          <w:sz w:val="24"/>
        </w:rPr>
        <w:t xml:space="preserve"> </w:t>
      </w:r>
      <w:r/>
    </w:p>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34">
    <w:nsid w:val="087F6A39"/>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5">
    <w:nsid w:val="59FB288F"/>
    <w:lvl w:ilvl="0">
      <w:isLgl w:val="false"/>
      <w:lvlJc w:val="left"/>
      <w:lvlText w:val="%1."/>
      <w:numFmt w:val="upp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6">
    <w:nsid w:val="2FFF12C3"/>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7">
    <w:nsid w:val="3AF7C8B6"/>
    <w:lvl w:ilvl="0">
      <w:isLgl w:val="false"/>
      <w:lvlJc w:val="left"/>
      <w:lvlText w:val="%1."/>
      <w:numFmt w:val="upperLetter"/>
      <w:pPr>
        <w:pBdr/>
        <w:spacing/>
        <w:ind w:hanging="360" w:left="720"/>
      </w:pPr>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8">
    <w:nsid w:val="198CFA12"/>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9">
    <w:nsid w:val="7A1D3B26"/>
    <w:lvl w:ilvl="0">
      <w:isLgl w:val="false"/>
      <w:lvlJc w:val="left"/>
      <w:lvlText w:val="%1."/>
      <w:numFmt w:val="decimal"/>
      <w:pPr>
        <w:pBdr/>
        <w:spacing/>
        <w:ind w:hanging="360" w:left="360"/>
      </w:pPr>
      <w:rPr/>
      <w:start w:val="1"/>
      <w:suff w:val="tab"/>
    </w:lvl>
    <w:lvl w:ilvl="1">
      <w:isLgl w:val="false"/>
      <w:lvlJc w:val="left"/>
      <w:lvlText w:val="%1.%2."/>
      <w:numFmt w:val="decimal"/>
      <w:pPr>
        <w:pBdr/>
        <w:spacing/>
        <w:ind w:hanging="360" w:left="720"/>
      </w:pPr>
      <w:rPr/>
      <w:start w:val="1"/>
      <w:suff w:val="tab"/>
    </w:lvl>
    <w:lvl w:ilvl="2">
      <w:isLgl w:val="false"/>
      <w:lvlJc w:val="left"/>
      <w:lvlText w:val="%1.%2.%3."/>
      <w:numFmt w:val="decimal"/>
      <w:pPr>
        <w:pBdr/>
        <w:spacing/>
        <w:ind w:hanging="720" w:left="1440"/>
      </w:pPr>
      <w:rPr/>
      <w:start w:val="1"/>
      <w:suff w:val="tab"/>
    </w:lvl>
    <w:lvl w:ilvl="3">
      <w:isLgl w:val="false"/>
      <w:lvlJc w:val="left"/>
      <w:lvlText w:val="%1.%2.%3.%4."/>
      <w:numFmt w:val="decimal"/>
      <w:pPr>
        <w:pBdr/>
        <w:spacing/>
        <w:ind w:hanging="720" w:left="1800"/>
      </w:pPr>
      <w:rPr/>
      <w:start w:val="1"/>
      <w:suff w:val="tab"/>
    </w:lvl>
    <w:lvl w:ilvl="4">
      <w:isLgl w:val="false"/>
      <w:lvlJc w:val="left"/>
      <w:lvlText w:val="%1.%2.%3.%4.%5."/>
      <w:numFmt w:val="decimal"/>
      <w:pPr>
        <w:pBdr/>
        <w:spacing/>
        <w:ind w:hanging="1080" w:left="2520"/>
      </w:pPr>
      <w:rPr/>
      <w:start w:val="1"/>
      <w:suff w:val="tab"/>
    </w:lvl>
    <w:lvl w:ilvl="5">
      <w:isLgl w:val="false"/>
      <w:lvlJc w:val="left"/>
      <w:lvlText w:val="%1.%2.%3.%4.%5.%6."/>
      <w:numFmt w:val="decimal"/>
      <w:pPr>
        <w:pBdr/>
        <w:spacing/>
        <w:ind w:hanging="1080" w:left="2880"/>
      </w:pPr>
      <w:rPr/>
      <w:start w:val="1"/>
      <w:suff w:val="tab"/>
    </w:lvl>
    <w:lvl w:ilvl="6">
      <w:isLgl w:val="false"/>
      <w:lvlJc w:val="left"/>
      <w:lvlText w:val="%1.%2.%3.%4.%5.%6.%7."/>
      <w:numFmt w:val="decimal"/>
      <w:pPr>
        <w:pBdr/>
        <w:spacing/>
        <w:ind w:hanging="1440" w:left="3600"/>
      </w:pPr>
      <w:rPr/>
      <w:start w:val="1"/>
      <w:suff w:val="tab"/>
    </w:lvl>
    <w:lvl w:ilvl="7">
      <w:isLgl w:val="false"/>
      <w:lvlJc w:val="left"/>
      <w:lvlText w:val="%1.%2.%3.%4.%5.%6.%7.%8."/>
      <w:numFmt w:val="decimal"/>
      <w:pPr>
        <w:pBdr/>
        <w:spacing/>
        <w:ind w:hanging="1440" w:left="3960"/>
      </w:pPr>
      <w:rPr/>
      <w:start w:val="1"/>
      <w:suff w:val="tab"/>
    </w:lvl>
    <w:lvl w:ilvl="8">
      <w:isLgl w:val="false"/>
      <w:lvlJc w:val="left"/>
      <w:lvlText w:val="%1.%2.%3.%4.%5.%6.%7.%8.%9."/>
      <w:numFmt w:val="decimal"/>
      <w:pPr>
        <w:pBdr/>
        <w:spacing/>
        <w:ind w:hanging="1800" w:left="4680"/>
      </w:pPr>
      <w:rPr/>
      <w:start w:val="1"/>
      <w:suff w:val="tab"/>
    </w:lvl>
  </w:abstractNum>
  <w:abstractNum w:abstractNumId="40">
    <w:nsid w:val="0BA0904A"/>
    <w:lvl w:ilvl="0">
      <w:isLgl w:val="false"/>
      <w:lvlJc w:val="left"/>
      <w:lvlText w:val="-"/>
      <w:numFmt w:val="bullet"/>
      <w:pPr>
        <w:pBdr/>
        <w:spacing/>
        <w:ind w:hanging="360" w:left="927"/>
      </w:pPr>
      <w:rPr>
        <w:rFonts w:hint="default" w:ascii="Symbol" w:hAnsi="Symbol" w:eastAsia="Symbol" w:cs="Symbol"/>
      </w:rPr>
      <w:start w:val="1"/>
      <w:suff w:val="tab"/>
    </w:lvl>
    <w:lvl w:ilvl="1">
      <w:isLgl w:val="false"/>
      <w:lvlJc w:val="left"/>
      <w:lvlText w:val="o"/>
      <w:numFmt w:val="bullet"/>
      <w:pPr>
        <w:pBdr/>
        <w:spacing/>
        <w:ind w:hanging="360" w:left="1647"/>
      </w:pPr>
      <w:rPr>
        <w:rFonts w:hint="default" w:ascii="Courier New" w:hAnsi="Courier New" w:eastAsia="Courier New" w:cs="Courier New"/>
      </w:rPr>
      <w:start w:val="1"/>
      <w:suff w:val="tab"/>
    </w:lvl>
    <w:lvl w:ilvl="2">
      <w:isLgl w:val="false"/>
      <w:lvlJc w:val="left"/>
      <w:lvlText w:val=""/>
      <w:numFmt w:val="bullet"/>
      <w:pPr>
        <w:pBdr/>
        <w:spacing/>
        <w:ind w:hanging="360" w:left="2367"/>
      </w:pPr>
      <w:rPr>
        <w:rFonts w:hint="default" w:ascii="Wingdings" w:hAnsi="Wingdings" w:eastAsia="Wingdings" w:cs="Wingdings"/>
      </w:rPr>
      <w:start w:val="1"/>
      <w:suff w:val="tab"/>
    </w:lvl>
    <w:lvl w:ilvl="3">
      <w:isLgl w:val="false"/>
      <w:lvlJc w:val="left"/>
      <w:lvlText w:val=""/>
      <w:numFmt w:val="bullet"/>
      <w:pPr>
        <w:pBdr/>
        <w:spacing/>
        <w:ind w:hanging="360" w:left="3087"/>
      </w:pPr>
      <w:rPr>
        <w:rFonts w:hint="default" w:ascii="Symbol" w:hAnsi="Symbol" w:eastAsia="Symbol" w:cs="Symbol"/>
      </w:rPr>
      <w:start w:val="1"/>
      <w:suff w:val="tab"/>
    </w:lvl>
    <w:lvl w:ilvl="4">
      <w:isLgl w:val="false"/>
      <w:lvlJc w:val="left"/>
      <w:lvlText w:val="o"/>
      <w:numFmt w:val="bullet"/>
      <w:pPr>
        <w:pBdr/>
        <w:spacing/>
        <w:ind w:hanging="360" w:left="3807"/>
      </w:pPr>
      <w:rPr>
        <w:rFonts w:hint="default" w:ascii="Courier New" w:hAnsi="Courier New" w:eastAsia="Courier New" w:cs="Courier New"/>
      </w:rPr>
      <w:start w:val="1"/>
      <w:suff w:val="tab"/>
    </w:lvl>
    <w:lvl w:ilvl="5">
      <w:isLgl w:val="false"/>
      <w:lvlJc w:val="left"/>
      <w:lvlText w:val=""/>
      <w:numFmt w:val="bullet"/>
      <w:pPr>
        <w:pBdr/>
        <w:spacing/>
        <w:ind w:hanging="360" w:left="4527"/>
      </w:pPr>
      <w:rPr>
        <w:rFonts w:hint="default" w:ascii="Wingdings" w:hAnsi="Wingdings" w:eastAsia="Wingdings" w:cs="Wingdings"/>
      </w:rPr>
      <w:start w:val="1"/>
      <w:suff w:val="tab"/>
    </w:lvl>
    <w:lvl w:ilvl="6">
      <w:isLgl w:val="false"/>
      <w:lvlJc w:val="left"/>
      <w:lvlText w:val=""/>
      <w:numFmt w:val="bullet"/>
      <w:pPr>
        <w:pBdr/>
        <w:spacing/>
        <w:ind w:hanging="360" w:left="5247"/>
      </w:pPr>
      <w:rPr>
        <w:rFonts w:hint="default" w:ascii="Symbol" w:hAnsi="Symbol" w:eastAsia="Symbol" w:cs="Symbol"/>
      </w:rPr>
      <w:start w:val="1"/>
      <w:suff w:val="tab"/>
    </w:lvl>
    <w:lvl w:ilvl="7">
      <w:isLgl w:val="false"/>
      <w:lvlJc w:val="left"/>
      <w:lvlText w:val="o"/>
      <w:numFmt w:val="bullet"/>
      <w:pPr>
        <w:pBdr/>
        <w:spacing/>
        <w:ind w:hanging="360" w:left="5967"/>
      </w:pPr>
      <w:rPr>
        <w:rFonts w:hint="default" w:ascii="Courier New" w:hAnsi="Courier New" w:eastAsia="Courier New" w:cs="Courier New"/>
      </w:rPr>
      <w:start w:val="1"/>
      <w:suff w:val="tab"/>
    </w:lvl>
    <w:lvl w:ilvl="8">
      <w:isLgl w:val="false"/>
      <w:lvlJc w:val="left"/>
      <w:lvlText w:val=""/>
      <w:numFmt w:val="bullet"/>
      <w:pPr>
        <w:pBdr/>
        <w:spacing/>
        <w:ind w:hanging="360" w:left="6687"/>
      </w:pPr>
      <w:rPr>
        <w:rFonts w:hint="default" w:ascii="Wingdings" w:hAnsi="Wingdings" w:eastAsia="Wingdings" w:cs="Wingdings"/>
      </w:rPr>
      <w:start w:val="1"/>
      <w:suff w:val="tab"/>
    </w:lvl>
  </w:abstractNum>
  <w:abstractNum w:abstractNumId="41">
    <w:nsid w:val="1524DD08"/>
    <w:lvl w:ilvl="0">
      <w:isLgl w:val="false"/>
      <w:lvlJc w:val="left"/>
      <w:lvlText w:val=""/>
      <w:numFmt w:val="bullet"/>
      <w:pPr>
        <w:pBdr/>
        <w:spacing/>
        <w:ind w:hanging="360" w:left="1426"/>
      </w:pPr>
      <w:rPr>
        <w:rFonts w:hint="default" w:ascii="Symbol" w:hAnsi="Symbol" w:eastAsia="Symbol" w:cs="Symbol"/>
      </w:rPr>
      <w:start w:val="1"/>
      <w:suff w:val="tab"/>
    </w:lvl>
    <w:lvl w:ilvl="1">
      <w:isLgl w:val="false"/>
      <w:lvlJc w:val="left"/>
      <w:lvlText w:val="o"/>
      <w:numFmt w:val="bullet"/>
      <w:pPr>
        <w:pBdr/>
        <w:spacing/>
        <w:ind w:hanging="360" w:left="2146"/>
      </w:pPr>
      <w:rPr>
        <w:rFonts w:hint="default" w:ascii="Courier New" w:hAnsi="Courier New" w:eastAsia="Courier New" w:cs="Courier New"/>
      </w:rPr>
      <w:start w:val="1"/>
      <w:suff w:val="tab"/>
    </w:lvl>
    <w:lvl w:ilvl="2">
      <w:isLgl w:val="false"/>
      <w:lvlJc w:val="left"/>
      <w:lvlText w:val=""/>
      <w:numFmt w:val="bullet"/>
      <w:pPr>
        <w:pBdr/>
        <w:spacing/>
        <w:ind w:hanging="360" w:left="2866"/>
      </w:pPr>
      <w:rPr>
        <w:rFonts w:hint="default" w:ascii="Wingdings" w:hAnsi="Wingdings" w:eastAsia="Wingdings" w:cs="Wingdings"/>
      </w:rPr>
      <w:start w:val="1"/>
      <w:suff w:val="tab"/>
    </w:lvl>
    <w:lvl w:ilvl="3">
      <w:isLgl w:val="false"/>
      <w:lvlJc w:val="left"/>
      <w:lvlText w:val=""/>
      <w:numFmt w:val="bullet"/>
      <w:pPr>
        <w:pBdr/>
        <w:spacing/>
        <w:ind w:hanging="360" w:left="3586"/>
      </w:pPr>
      <w:rPr>
        <w:rFonts w:hint="default" w:ascii="Symbol" w:hAnsi="Symbol" w:eastAsia="Symbol" w:cs="Symbol"/>
      </w:rPr>
      <w:start w:val="1"/>
      <w:suff w:val="tab"/>
    </w:lvl>
    <w:lvl w:ilvl="4">
      <w:isLgl w:val="false"/>
      <w:lvlJc w:val="left"/>
      <w:lvlText w:val="o"/>
      <w:numFmt w:val="bullet"/>
      <w:pPr>
        <w:pBdr/>
        <w:spacing/>
        <w:ind w:hanging="360" w:left="4306"/>
      </w:pPr>
      <w:rPr>
        <w:rFonts w:hint="default" w:ascii="Courier New" w:hAnsi="Courier New" w:eastAsia="Courier New" w:cs="Courier New"/>
      </w:rPr>
      <w:start w:val="1"/>
      <w:suff w:val="tab"/>
    </w:lvl>
    <w:lvl w:ilvl="5">
      <w:isLgl w:val="false"/>
      <w:lvlJc w:val="left"/>
      <w:lvlText w:val=""/>
      <w:numFmt w:val="bullet"/>
      <w:pPr>
        <w:pBdr/>
        <w:spacing/>
        <w:ind w:hanging="360" w:left="5026"/>
      </w:pPr>
      <w:rPr>
        <w:rFonts w:hint="default" w:ascii="Wingdings" w:hAnsi="Wingdings" w:eastAsia="Wingdings" w:cs="Wingdings"/>
      </w:rPr>
      <w:start w:val="1"/>
      <w:suff w:val="tab"/>
    </w:lvl>
    <w:lvl w:ilvl="6">
      <w:isLgl w:val="false"/>
      <w:lvlJc w:val="left"/>
      <w:lvlText w:val=""/>
      <w:numFmt w:val="bullet"/>
      <w:pPr>
        <w:pBdr/>
        <w:spacing/>
        <w:ind w:hanging="360" w:left="5746"/>
      </w:pPr>
      <w:rPr>
        <w:rFonts w:hint="default" w:ascii="Symbol" w:hAnsi="Symbol" w:eastAsia="Symbol" w:cs="Symbol"/>
      </w:rPr>
      <w:start w:val="1"/>
      <w:suff w:val="tab"/>
    </w:lvl>
    <w:lvl w:ilvl="7">
      <w:isLgl w:val="false"/>
      <w:lvlJc w:val="left"/>
      <w:lvlText w:val="o"/>
      <w:numFmt w:val="bullet"/>
      <w:pPr>
        <w:pBdr/>
        <w:spacing/>
        <w:ind w:hanging="360" w:left="6466"/>
      </w:pPr>
      <w:rPr>
        <w:rFonts w:hint="default" w:ascii="Courier New" w:hAnsi="Courier New" w:eastAsia="Courier New" w:cs="Courier New"/>
      </w:rPr>
      <w:start w:val="1"/>
      <w:suff w:val="tab"/>
    </w:lvl>
    <w:lvl w:ilvl="8">
      <w:isLgl w:val="false"/>
      <w:lvlJc w:val="left"/>
      <w:lvlText w:val=""/>
      <w:numFmt w:val="bullet"/>
      <w:pPr>
        <w:pBdr/>
        <w:spacing/>
        <w:ind w:hanging="360" w:left="7186"/>
      </w:pPr>
      <w:rPr>
        <w:rFonts w:hint="default" w:ascii="Wingdings" w:hAnsi="Wingdings" w:eastAsia="Wingdings" w:cs="Wingdings"/>
      </w:rPr>
      <w:start w:val="1"/>
      <w:suff w:val="tab"/>
    </w:lvl>
  </w:abstractNum>
  <w:abstractNum w:abstractNumId="42">
    <w:nsid w:val="538B4794"/>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2026-05-29T08:53:44Z</dcterms:modified>
</cp:coreProperties>
</file>