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spacing w:val="-4"/>
                <w:highlight w:val="white"/>
                <w:lang w:val="vi-VN"/>
              </w:rPr>
            </w:r>
            <w:r>
              <w:rPr>
                <w:color w:val="000000" w:themeColor="text1"/>
                <w:spacing w:val="-4"/>
                <w:highlight w:val="white"/>
                <w:lang w:val="vi-VN"/>
              </w:rPr>
              <w:t xml:space="preserve">275/2026/0668/VFI-HĐTĐ.44.A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11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76" w:lineRule="auto"/>
              <w:ind/>
              <w:jc w:val="both"/>
              <w:rPr>
                <w:b/>
                <w:bCs/>
                <w:color w:val="000000" w:themeColor="text1"/>
                <w:highlight w:val="white"/>
              </w:rPr>
            </w:pPr>
            <w:r>
              <w:rPr>
                <w:b/>
                <w:bCs/>
                <w:color w:val="000000" w:themeColor="text1"/>
                <w:highlight w:val="none"/>
                <w:lang w:val="pt-BR"/>
              </w:rPr>
              <w:t xml:space="preserve">BÊN A</w:t>
            </w:r>
            <w:r>
              <w:rPr>
                <w:b/>
                <w:bCs/>
                <w:color w:val="000000" w:themeColor="text1"/>
                <w:highlight w:val="white"/>
                <w:lang w:val="pt-BR"/>
              </w:rPr>
            </w:r>
            <w:r>
              <w:rPr>
                <w:b/>
                <w:bCs/>
                <w:color w:val="000000" w:themeColor="text1"/>
                <w:highlight w:val="white"/>
              </w:rPr>
            </w:r>
          </w:p>
        </w:tc>
        <w:tc>
          <w:tcPr>
            <w:tcBorders/>
            <w:tcW w:w="270" w:type="dxa"/>
            <w:vAlign w:val="center"/>
            <w:textDirection w:val="lrTb"/>
            <w:noWrap w:val="false"/>
          </w:tcPr>
          <w:p>
            <w:pPr>
              <w:pBdr/>
              <w:spacing w:after="40" w:before="40" w:line="276" w:lineRule="auto"/>
              <w:ind/>
              <w:jc w:val="center"/>
              <w:rPr>
                <w:bCs/>
                <w:color w:val="000000" w:themeColor="text1"/>
                <w:highlight w:val="white"/>
              </w:rPr>
            </w:pPr>
            <w:r>
              <w:rPr>
                <w:bCs/>
                <w:color w:val="000000"/>
                <w:highlight w:val="white"/>
                <w:lang w:val="pt-BR"/>
              </w:rPr>
              <w:t xml:space="preserve">:</w:t>
            </w:r>
            <w:r>
              <w:rPr>
                <w:bCs/>
                <w:color w:val="000000" w:themeColor="text1"/>
                <w:highlight w:val="white"/>
              </w:rPr>
            </w:r>
            <w:r>
              <w:rPr>
                <w:bCs/>
                <w:color w:val="000000" w:themeColor="text1"/>
                <w:highlight w:val="white"/>
              </w:rPr>
            </w:r>
          </w:p>
        </w:tc>
        <w:tc>
          <w:tcPr>
            <w:tcBorders/>
            <w:tcW w:w="7951" w:type="dxa"/>
            <w:vAlign w:val="center"/>
            <w:textDirection w:val="lrTb"/>
            <w:noWrap w:val="false"/>
          </w:tcPr>
          <w:p>
            <w:pPr>
              <w:pBdr/>
              <w:spacing/>
              <w:ind/>
              <w:rPr>
                <w:highlight w:val="white"/>
              </w:rPr>
            </w:pPr>
            <w:r>
              <w:rPr>
                <w:b/>
                <w:bCs/>
                <w:highlight w:val="white"/>
              </w:rPr>
              <w:t xml:space="preserve">Ông Tạ Tất Thắng</w:t>
            </w:r>
            <w:r>
              <w:rPr>
                <w:highlight w:val="white"/>
              </w:rPr>
            </w:r>
            <w:r>
              <w:rPr>
                <w:highlight w:val="white"/>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highlight w:val="white"/>
              </w:rPr>
            </w:pPr>
            <w:r>
              <w:rPr>
                <w:bCs/>
                <w:color w:val="000000" w:themeColor="text1"/>
                <w:highlight w:val="white"/>
                <w:lang w:val="pt-BR"/>
              </w:rPr>
              <w:t xml:space="preserve">MST/CMTND/CCCD:</w:t>
            </w:r>
            <w:r>
              <w:rPr>
                <w:bCs/>
                <w:color w:val="000000" w:themeColor="text1"/>
                <w:highlight w:val="white"/>
              </w:rPr>
            </w:r>
            <w:r>
              <w:rPr>
                <w:bCs/>
                <w:color w:val="000000" w:themeColor="text1"/>
                <w:highlight w:val="white"/>
              </w:rPr>
            </w:r>
          </w:p>
        </w:tc>
        <w:tc>
          <w:tcPr>
            <w:tcBorders/>
            <w:tcW w:w="270" w:type="dxa"/>
            <w:vAlign w:val="center"/>
            <w:textDirection w:val="lrTb"/>
            <w:noWrap w:val="false"/>
          </w:tcPr>
          <w:p>
            <w:pPr>
              <w:pBdr/>
              <w:spacing w:after="40" w:before="40" w:line="276" w:lineRule="auto"/>
              <w:ind/>
              <w:jc w:val="center"/>
              <w:rPr>
                <w:bCs/>
                <w:color w:val="000000" w:themeColor="text1"/>
                <w:highlight w:val="white"/>
              </w:rPr>
            </w:pPr>
            <w:r>
              <w:rPr>
                <w:bCs/>
                <w:color w:val="000000"/>
                <w:highlight w:val="white"/>
                <w:lang w:val="pt-BR"/>
              </w:rPr>
              <w:t xml:space="preserve">:</w:t>
            </w:r>
            <w:r>
              <w:rPr>
                <w:bCs/>
                <w:color w:val="000000" w:themeColor="text1"/>
                <w:highlight w:val="white"/>
              </w:rPr>
            </w:r>
            <w:r>
              <w:rPr>
                <w:bCs/>
                <w:color w:val="000000" w:themeColor="text1"/>
                <w:highlight w:val="white"/>
              </w:rPr>
            </w:r>
          </w:p>
        </w:tc>
        <w:tc>
          <w:tcPr>
            <w:tcBorders/>
            <w:tcW w:w="7951" w:type="dxa"/>
            <w:vAlign w:val="center"/>
            <w:textDirection w:val="lrTb"/>
            <w:noWrap w:val="false"/>
          </w:tcPr>
          <w:p>
            <w:pPr>
              <w:pBdr/>
              <w:spacing w:after="40" w:before="40" w:line="276" w:lineRule="auto"/>
              <w:ind/>
              <w:jc w:val="both"/>
              <w:rPr>
                <w:color w:val="ff0000"/>
                <w:highlight w:val="white"/>
              </w:rPr>
            </w:pPr>
            <w:r>
              <w:rPr>
                <w:color w:val="000000" w:themeColor="text1"/>
                <w:highlight w:val="white"/>
                <w:lang w:val="vi-VN"/>
              </w:rPr>
              <w:t xml:space="preserve">026083004065</w:t>
            </w:r>
            <w:r>
              <w:rPr>
                <w:color w:val="ff0000"/>
                <w:highlight w:val="white"/>
              </w:rPr>
            </w:r>
            <w:r>
              <w:rPr>
                <w:color w:val="ff0000"/>
                <w:highlight w:val="white"/>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highlight w:val="white"/>
              </w:rPr>
            </w:pPr>
            <w:r>
              <w:rPr>
                <w:bCs/>
                <w:color w:val="000000" w:themeColor="text1"/>
                <w:highlight w:val="white"/>
                <w:lang w:val="pt-BR"/>
              </w:rPr>
              <w:t xml:space="preserve">Năm sinh:</w:t>
            </w:r>
            <w:r>
              <w:rPr>
                <w:bCs/>
                <w:color w:val="000000" w:themeColor="text1"/>
                <w:highlight w:val="white"/>
              </w:rPr>
            </w:r>
            <w:r>
              <w:rPr>
                <w:bCs/>
                <w:color w:val="000000" w:themeColor="text1"/>
                <w:highlight w:val="white"/>
              </w:rPr>
            </w:r>
          </w:p>
        </w:tc>
        <w:tc>
          <w:tcPr>
            <w:tcBorders/>
            <w:tcW w:w="270" w:type="dxa"/>
            <w:vAlign w:val="center"/>
            <w:textDirection w:val="lrTb"/>
            <w:noWrap w:val="false"/>
          </w:tcPr>
          <w:p>
            <w:pPr>
              <w:pBdr/>
              <w:spacing w:after="40" w:before="40" w:line="276" w:lineRule="auto"/>
              <w:ind/>
              <w:jc w:val="center"/>
              <w:rPr>
                <w:bCs/>
                <w:color w:val="000000" w:themeColor="text1"/>
                <w:highlight w:val="white"/>
              </w:rPr>
            </w:pPr>
            <w:r>
              <w:rPr>
                <w:bCs/>
                <w:color w:val="000000"/>
                <w:highlight w:val="white"/>
                <w:lang w:val="pt-BR"/>
              </w:rPr>
              <w:t xml:space="preserve">:</w:t>
            </w:r>
            <w:r>
              <w:rPr>
                <w:bCs/>
                <w:color w:val="000000" w:themeColor="text1"/>
                <w:highlight w:val="white"/>
              </w:rPr>
            </w:r>
            <w:r>
              <w:rPr>
                <w:bCs/>
                <w:color w:val="000000" w:themeColor="text1"/>
                <w:highlight w:val="white"/>
              </w:rPr>
            </w:r>
          </w:p>
        </w:tc>
        <w:tc>
          <w:tcPr>
            <w:tcBorders/>
            <w:tcW w:w="7951" w:type="dxa"/>
            <w:vAlign w:val="center"/>
            <w:textDirection w:val="lrTb"/>
            <w:noWrap w:val="false"/>
          </w:tcPr>
          <w:p>
            <w:pPr>
              <w:pBdr/>
              <w:spacing w:after="40" w:before="40" w:line="276" w:lineRule="auto"/>
              <w:ind/>
              <w:jc w:val="both"/>
              <w:rPr>
                <w:color w:val="ff0000"/>
                <w:highlight w:val="white"/>
              </w:rPr>
            </w:pPr>
            <w:r>
              <w:rPr>
                <w:color w:val="000000" w:themeColor="text1"/>
                <w:highlight w:val="white"/>
                <w:lang w:val="vi-VN"/>
              </w:rPr>
              <w:t xml:space="preserve">1983</w:t>
            </w:r>
            <w:r>
              <w:rPr>
                <w:color w:val="ff0000"/>
                <w:highlight w:val="white"/>
              </w:rPr>
            </w:r>
            <w:r>
              <w:rPr>
                <w:color w:val="ff0000"/>
                <w:highlight w:val="white"/>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highlight w:val="white"/>
              </w:rPr>
            </w:pPr>
            <w:r>
              <w:rPr>
                <w:bCs/>
                <w:color w:val="000000" w:themeColor="text1"/>
                <w:highlight w:val="white"/>
                <w:lang w:val="pt-BR"/>
              </w:rPr>
              <w:t xml:space="preserve">Địa chỉ</w:t>
            </w:r>
            <w:r>
              <w:rPr>
                <w:bCs/>
                <w:color w:val="000000" w:themeColor="text1"/>
                <w:highlight w:val="white"/>
              </w:rPr>
            </w:r>
            <w:r>
              <w:rPr>
                <w:bCs/>
                <w:color w:val="000000" w:themeColor="text1"/>
                <w:highlight w:val="white"/>
              </w:rPr>
            </w:r>
          </w:p>
        </w:tc>
        <w:tc>
          <w:tcPr>
            <w:tcBorders/>
            <w:tcW w:w="270" w:type="dxa"/>
            <w:vAlign w:val="center"/>
            <w:textDirection w:val="lrTb"/>
            <w:noWrap w:val="false"/>
          </w:tcPr>
          <w:p>
            <w:pPr>
              <w:pBdr/>
              <w:spacing w:after="40" w:before="40" w:line="276" w:lineRule="auto"/>
              <w:ind/>
              <w:jc w:val="center"/>
              <w:rPr>
                <w:bCs/>
                <w:color w:val="000000" w:themeColor="text1"/>
                <w:highlight w:val="white"/>
              </w:rPr>
            </w:pPr>
            <w:r>
              <w:rPr>
                <w:bCs/>
                <w:color w:val="000000"/>
                <w:highlight w:val="white"/>
                <w:lang w:val="pt-BR"/>
              </w:rPr>
              <w:t xml:space="preserve">:</w:t>
            </w:r>
            <w:r>
              <w:rPr>
                <w:bCs/>
                <w:color w:val="000000" w:themeColor="text1"/>
                <w:highlight w:val="white"/>
              </w:rPr>
            </w:r>
            <w:r>
              <w:rPr>
                <w:bCs/>
                <w:color w:val="000000" w:themeColor="text1"/>
                <w:highlight w:val="white"/>
              </w:rPr>
            </w:r>
          </w:p>
        </w:tc>
        <w:tc>
          <w:tcPr>
            <w:tcBorders/>
            <w:tcW w:w="7951" w:type="dxa"/>
            <w:vAlign w:val="center"/>
            <w:textDirection w:val="lrTb"/>
            <w:noWrap w:val="false"/>
          </w:tcPr>
          <w:p>
            <w:pPr>
              <w:pBdr/>
              <w:spacing w:after="40" w:before="40" w:line="276" w:lineRule="auto"/>
              <w:ind/>
              <w:jc w:val="both"/>
              <w:rPr>
                <w:color w:val="ff0000"/>
                <w:highlight w:val="white"/>
              </w:rPr>
            </w:pPr>
            <w:r>
              <w:rPr>
                <w:color w:val="000000" w:themeColor="text1"/>
                <w:highlight w:val="white"/>
                <w:lang w:val="vi-VN"/>
              </w:rPr>
              <w:t xml:space="preserve">Xã Liên Châu, tỉnh Phú Thọ</w:t>
            </w:r>
            <w:r>
              <w:rPr>
                <w:color w:val="ff0000"/>
                <w:highlight w:val="white"/>
              </w:rPr>
            </w:r>
            <w:r>
              <w:rPr>
                <w:color w:val="ff0000"/>
                <w:highlight w:val="white"/>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highlight w:val="white"/>
        </w:rPr>
      </w:r>
      <w:r>
        <w:rPr>
          <w:color w:val="000000"/>
          <w:highlight w:val="white"/>
        </w:rPr>
        <w:t xml:space="preserve">Quyền sử dụng đất tại thửa đất số: 602, tờ bản đồ số: 22, có địa chỉ: Thôn Nhật Tiến 3, xã Liên Châu, </w:t>
      </w:r>
      <w:r>
        <w:rPr>
          <w:i/>
          <w:iCs/>
          <w:color w:val="000000"/>
          <w:highlight w:val="white"/>
        </w:rPr>
        <w:t xml:space="preserve">(huyện Yên Lạc, tỉnh Vĩnh Phúc) </w:t>
      </w:r>
      <w:r>
        <w:rPr>
          <w:color w:val="000000"/>
          <w:highlight w:val="white"/>
        </w:rPr>
        <w:t xml:space="preserve">n</w:t>
      </w:r>
      <w:r>
        <w:rPr>
          <w:color w:val="000000"/>
          <w:highlight w:val="white"/>
        </w:rPr>
        <w:t xml:space="preserve">ay là tỉnh Phú Thọ theo Giấy chứng nhận quyền sử dụng đất, quyền sở hữu nhà ở và tài sản khác gắn liền với đất số: DD 591838, Số vào sổ cấp GCN: CS01720 do Sở Tài nguyên và Môi trường tỉnh Vĩnh Phúc cấp ngày 17/12/2021; Chủ sử dụng đất là Ông Tạ Tất Thắng</w:t>
      </w: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HSTD-20260421-0013/HĐTĐ-VFI-01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HSTD-20260421-0013/HĐTĐ-VFI </w:t>
      </w:r>
      <w:r>
        <w:rPr>
          <w:color w:val="000000" w:themeColor="text1"/>
        </w:rPr>
        <w:t xml:space="preserve">đã ký </w:t>
      </w:r>
      <w:r>
        <w:rPr>
          <w:color w:val="000000" w:themeColor="text1"/>
        </w:rPr>
        <w:t xml:space="preserve">ngày 11 tháng 5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11 tháng 5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HSTD-20260421-0013/HĐTĐ-VFI-01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HSTD-20260421-0013/HĐTĐ-VFI </w:t>
      </w:r>
      <w:r>
        <w:rPr>
          <w:i/>
          <w:iCs/>
          <w:color w:val="000000" w:themeColor="text1"/>
        </w:rPr>
        <w:t xml:space="preserve">,</w:t>
      </w:r>
      <w:r>
        <w:rPr>
          <w:i/>
          <w:iCs/>
          <w:color w:val="000000" w:themeColor="text1"/>
        </w:rPr>
        <w:t xml:space="preserve">ngày 11 tháng 5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HSTD-20260421-0013/HĐTĐ-VFI đã ký ngày 11 tháng 5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HSTD-20260421-0013/HĐTĐ-VFI đã ký ngày 11 tháng 5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HSTD-20260421-0013/HĐTĐ-VFI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HSTD-20260421-0013/HĐTĐ-VFI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2026-05-21T08:21:22Z</dcterms:modified>
</cp:coreProperties>
</file>