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 w:val="0"/>
                <w:bCs w:val="0"/>
                <w:color w:val="000000" w:themeColor="text1"/>
              </w:rPr>
            </w:pPr>
            <w:r>
              <w:rPr>
                <w:b w:val="0"/>
                <w:bCs w:val="0"/>
                <w:i/>
                <w:color w:val="000000" w:themeColor="text1"/>
              </w:rPr>
              <w:t xml:space="preserve">Số: </w:t>
            </w:r>
            <w:r>
              <w:rPr>
                <w:b w:val="0"/>
                <w:bCs w:val="0"/>
                <w:i/>
                <w:color w:val="000000" w:themeColor="text1"/>
              </w:rPr>
            </w:r>
            <w:r>
              <w:rPr>
                <w:rFonts w:ascii="Times New Roman" w:hAnsi="Times New Roman" w:eastAsia="Times New Roman" w:cs="Times New Roman"/>
                <w:b w:val="0"/>
                <w:bCs w:val="0"/>
                <w:color w:val="000000"/>
                <w:sz w:val="24"/>
              </w:rPr>
              <w:t xml:space="preserve">275/2026/0696/VFI-CT.48.A</w:t>
            </w:r>
            <w:r>
              <w:rPr>
                <w:b w:val="0"/>
                <w:bCs w:val="0"/>
                <w:i/>
                <w:color w:val="000000" w:themeColor="text1"/>
              </w:rPr>
            </w:r>
            <w:r>
              <w:rPr>
                <w:b w:val="0"/>
                <w:bCs w:val="0"/>
                <w:color w:val="000000" w:themeColor="text1"/>
              </w:rPr>
            </w:r>
          </w:p>
        </w:tc>
        <w:tc>
          <w:tcPr>
            <w:tcBorders/>
            <w:tcW w:w="5700" w:type="dxa"/>
            <w:vAlign w:val="center"/>
            <w:textDirection w:val="lrTb"/>
            <w:noWrap w:val="false"/>
          </w:tcPr>
          <w:p>
            <w:pPr>
              <w:pBdr/>
              <w:spacing w:after="40" w:before="120" w:line="288" w:lineRule="auto"/>
              <w:ind w:firstLine="3" w:left="357"/>
              <w:jc w:val="right"/>
              <w:rPr>
                <w:b w:val="0"/>
                <w:bCs w:val="0"/>
                <w:i/>
                <w:iCs/>
                <w:color w:val="000000" w:themeColor="text1"/>
              </w:rPr>
            </w:pPr>
            <w:r>
              <w:rPr>
                <w:b w:val="0"/>
                <w:bCs w:val="0"/>
                <w:i/>
                <w:iCs/>
                <w:color w:val="000000" w:themeColor="text1"/>
              </w:rPr>
              <w:t xml:space="preserve">    </w:t>
            </w:r>
            <w:r>
              <w:rPr>
                <w:b w:val="0"/>
                <w:bCs w:val="0"/>
                <w:i/>
                <w:iCs/>
                <w:color w:val="000000" w:themeColor="text1"/>
              </w:rPr>
              <w:t xml:space="preserve">    </w:t>
            </w:r>
            <w:r>
              <w:rPr>
                <w:b w:val="0"/>
                <w:bCs w:val="0"/>
                <w:i/>
                <w:iCs/>
                <w:color w:val="000000" w:themeColor="text1"/>
              </w:rPr>
              <w:t xml:space="preserve">  Hà Nội, </w:t>
            </w:r>
            <w:r>
              <w:rPr>
                <w:b w:val="0"/>
                <w:bCs w:val="0"/>
                <w:i/>
                <w:iCs/>
                <w:color w:val="000000" w:themeColor="text1"/>
              </w:rPr>
              <w:t xml:space="preserve">ngày 5 tháng 5 năm 2026</w:t>
            </w:r>
            <w:r>
              <w:rPr>
                <w:b w:val="0"/>
                <w:bCs w:val="0"/>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NGUYỄN THỊ PHƯỢNG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001184016799</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117, tờ bản đồ số: 17 có địa chỉ: Khu 5, thị trấn Trạm Trôi, huyện Hoài Đức, thành phố Hà Nội (nay là xã Hoài Đức, thành phố Hà Nội) theo Giấy chứng nhận quyền sử dụng đất quyền sở hữu nhà ở và tài sản khác gắn liền với đ</w:t>
      </w:r>
      <w:r>
        <w:rPr>
          <w:rFonts w:ascii="Times New Roman" w:hAnsi="Times New Roman" w:eastAsia="Times New Roman" w:cs="Times New Roman"/>
          <w:color w:val="000000"/>
          <w:sz w:val="24"/>
        </w:rPr>
        <w:t xml:space="preserve">ất số: CX 553633, số vào sổ cấp GCN: CS-HĐU34314 do Sở Tài nguyên và Môi trường thành phố Hà Nội cấp ngày 21/7/2020 cho Bà Nguyễn Thị Phượng</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2026-05-08T08:59:43Z</dcterms:modified>
</cp:coreProperties>
</file>