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2"/>
                <w:szCs w:val="22"/>
              </w:rPr>
            </w:pPr>
            <w:r>
              <w:rPr>
                <w:rFonts w:ascii="Times New Roman" w:hAnsi="Times New Roman" w:eastAsia="Times New Roman" w:cs="Times New Roman"/>
                <w:i/>
                <w:iCs/>
                <w:color w:val="000000" w:themeColor="text1"/>
                <w:sz w:val="22"/>
                <w:szCs w:val="22"/>
              </w:rPr>
              <w:t xml:space="preserve">Số: </w:t>
            </w:r>
            <w:r>
              <w:rPr>
                <w:rFonts w:ascii="Times New Roman" w:hAnsi="Times New Roman" w:eastAsia="Times New Roman" w:cs="Times New Roman"/>
                <w:i/>
                <w:iCs/>
                <w:color w:val="000000" w:themeColor="text1"/>
                <w:sz w:val="22"/>
                <w:szCs w:val="22"/>
              </w:rPr>
            </w:r>
            <w:r>
              <w:rPr>
                <w:rFonts w:ascii="Times New Roman" w:hAnsi="Times New Roman" w:eastAsia="Times New Roman" w:cs="Times New Roman"/>
                <w:i/>
                <w:iCs/>
                <w:color w:val="081b3a"/>
                <w:spacing w:val="3"/>
                <w:sz w:val="22"/>
                <w:szCs w:val="22"/>
                <w:highlight w:val="white"/>
              </w:rPr>
              <w:t xml:space="preserve">275/2026/1248/VFI-HĐTĐ.48.A</w:t>
            </w:r>
            <w:r>
              <w:rPr>
                <w:rFonts w:ascii="Times New Roman" w:hAnsi="Times New Roman" w:eastAsia="Times New Roman" w:cs="Times New Roman"/>
                <w:i/>
                <w:iCs/>
                <w:color w:val="000000" w:themeColor="text1"/>
                <w:sz w:val="22"/>
                <w:szCs w:val="22"/>
              </w:rPr>
            </w:r>
            <w:r>
              <w:rPr>
                <w:rFonts w:ascii="Times New Roman" w:hAnsi="Times New Roman" w:eastAsia="Times New Roman" w:cs="Times New Roman"/>
                <w:i/>
                <w:iCs/>
                <w:color w:val="000000" w:themeColor="text1"/>
                <w:sz w:val="22"/>
                <w:szCs w:val="22"/>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2"/>
                <w:szCs w:val="22"/>
              </w:rPr>
            </w:pPr>
            <w:r>
              <w:rPr>
                <w:rFonts w:ascii="Times New Roman" w:hAnsi="Times New Roman" w:eastAsia="Times New Roman" w:cs="Times New Roman"/>
                <w:i/>
                <w:iCs/>
                <w:color w:val="000000" w:themeColor="text1"/>
                <w:sz w:val="22"/>
                <w:szCs w:val="22"/>
              </w:rPr>
              <w:t xml:space="preserve">    </w:t>
            </w:r>
            <w:r>
              <w:rPr>
                <w:rFonts w:ascii="Times New Roman" w:hAnsi="Times New Roman" w:eastAsia="Times New Roman" w:cs="Times New Roman"/>
                <w:i/>
                <w:iCs/>
                <w:color w:val="000000" w:themeColor="text1"/>
                <w:sz w:val="22"/>
                <w:szCs w:val="22"/>
              </w:rPr>
              <w:t xml:space="preserve">    </w:t>
            </w:r>
            <w:r>
              <w:rPr>
                <w:rFonts w:ascii="Times New Roman" w:hAnsi="Times New Roman" w:eastAsia="Times New Roman" w:cs="Times New Roman"/>
                <w:i/>
                <w:iCs/>
                <w:color w:val="000000" w:themeColor="text1"/>
                <w:sz w:val="22"/>
                <w:szCs w:val="22"/>
              </w:rPr>
              <w:t xml:space="preserve">  Hà Nội, </w:t>
            </w:r>
            <w:r>
              <w:rPr>
                <w:rFonts w:ascii="Times New Roman" w:hAnsi="Times New Roman" w:eastAsia="Times New Roman" w:cs="Times New Roman"/>
                <w:i/>
                <w:iCs/>
                <w:color w:val="000000" w:themeColor="text1"/>
                <w:sz w:val="22"/>
                <w:szCs w:val="22"/>
              </w:rPr>
              <w:t xml:space="preserve">ngày 11 tháng 8 năm 2026</w:t>
            </w:r>
            <w:r>
              <w:rPr>
                <w:rFonts w:ascii="Times New Roman" w:hAnsi="Times New Roman" w:eastAsia="Times New Roman" w:cs="Times New Roman"/>
                <w:i/>
                <w:iCs/>
                <w:color w:val="000000" w:themeColor="text1"/>
                <w:sz w:val="22"/>
                <w:szCs w:val="22"/>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VŨ XUÂN QUỲNH</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001183022664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Ô Chợ Dừa,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Số vào sổ cấp GCN DP892405, Số thửa 59, Tờ bản đồ 71, Địa chỉ trên sổ TDP Văn Xá phường Bích Động thị xã Việt Yên tỉnh Bắc Giang, D</w:t>
      </w:r>
      <w:r>
        <w:rPr>
          <w:bCs/>
        </w:rPr>
        <w:t xml:space="preserve">iện tích: Đất ở tại đô thị (174.5 m2) | Tài sản tại: Thị trấn Bích Động, Huyện Việt Yên, Tỉnh Bắc Giang, khoảng cách ra đường chính 500m, độ rộng đường trước mặt tài sản 3.9m, Tài sản cách trục liên xã khoảng 500m, mặt tiền 15.7m, 21.268888888889, 106.0825</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2026-08-12T02:39:43Z</dcterms:modified>
</cp:coreProperties>
</file>