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00000" w:themeColor="text1"/>
                <w:spacing w:val="3"/>
                <w:sz w:val="24"/>
                <w:szCs w:val="24"/>
                <w:highlight w:val="white"/>
              </w:rPr>
              <w:t xml:space="preserve">275/2026/0569/VFI-HĐTĐ.48.A</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sz w:val="24"/>
                <w:szCs w:val="24"/>
              </w:rPr>
            </w:r>
            <w:bookmarkStart w:id="0" w:name="_Hlk117252695"/>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r>
            <w:r>
              <w:rPr>
                <w:rFonts w:ascii="Times New Roman" w:hAnsi="Times New Roman" w:eastAsia="Times New Roman" w:cs="Times New Roman"/>
                <w:b/>
                <w:color w:val="000000" w:themeColor="text1"/>
                <w:spacing w:val="-2"/>
                <w:sz w:val="24"/>
                <w:szCs w:val="24"/>
                <w:highlight w:val="white"/>
              </w:rPr>
              <w:t xml:space="preserve">CÔNG TY TNHH DỊCH VỤ THƯƠNG MẠI MINH PHÁT</w:t>
            </w:r>
            <w:r>
              <w:rPr>
                <w:rFonts w:ascii="Times New Roman" w:hAnsi="Times New Roman" w:eastAsia="Times New Roman" w:cs="Times New Roman"/>
                <w:b/>
                <w:color w:val="000000" w:themeColor="text1"/>
                <w:spacing w:val="-8"/>
                <w:sz w:val="24"/>
                <w:szCs w:val="24"/>
                <w:lang w:val="vi-VN"/>
              </w:rPr>
            </w:r>
            <w:r>
              <w:rPr>
                <w:rFonts w:ascii="Times New Roman" w:hAnsi="Times New Roman" w:eastAsia="Times New Roman" w:cs="Times New Roman"/>
                <w:b/>
                <w:color w:val="000000" w:themeColor="text1"/>
                <w:spacing w:val="-8"/>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Đại chỉ</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pacing w:val="-2"/>
                <w:sz w:val="24"/>
                <w:szCs w:val="24"/>
                <w:highlight w:val="white"/>
              </w:rPr>
              <w:t xml:space="preserve">Số nhà 1636 đường Nguyễn Văn Linh, Phường Thượng Hồng, Tỉnh Hưng Yên, Việt Nam</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bCs/>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MST</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2"/>
                <w:sz w:val="24"/>
                <w:szCs w:val="24"/>
                <w:highlight w:val="white"/>
              </w:rPr>
              <w:t xml:space="preserve">0900236512</w:t>
            </w: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Đại diện </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Ông Dương Quang Minh</w:t>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B</w:t>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CÔNG TY CỔ PHẦN THẨM ĐỊNH VÀ ĐẦU TƯ TÀI CHÍNH HOA SEN</w:t>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Địa chỉ </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2"/>
                <w:sz w:val="24"/>
                <w:szCs w:val="24"/>
              </w:rPr>
            </w:pPr>
            <w:r>
              <w:rPr>
                <w:rFonts w:ascii="Times New Roman" w:hAnsi="Times New Roman" w:eastAsia="Times New Roman" w:cs="Times New Roman"/>
                <w:color w:val="000000" w:themeColor="text1"/>
                <w:spacing w:val="-2"/>
                <w:sz w:val="24"/>
                <w:szCs w:val="24"/>
                <w:lang w:val="pt-BR"/>
              </w:rPr>
              <w:t xml:space="preserve">BT5 - 23, Khu đô thị mới Văn Phú, Phường Kiến Hưng, Thành phố Hà Nội</w:t>
            </w:r>
            <w:r>
              <w:rPr>
                <w:rFonts w:ascii="Times New Roman" w:hAnsi="Times New Roman" w:eastAsia="Times New Roman" w:cs="Times New Roman"/>
                <w:color w:val="000000" w:themeColor="text1"/>
                <w:spacing w:val="-2"/>
                <w:sz w:val="24"/>
                <w:szCs w:val="24"/>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024 2264 4333</w:t>
            </w:r>
            <w:r>
              <w:rPr>
                <w:rFonts w:ascii="Times New Roman" w:hAnsi="Times New Roman" w:eastAsia="Times New Roman" w:cs="Times New Roman"/>
                <w:i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Mã số thuế</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0102708994</w:t>
            </w:r>
            <w:r>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Mã số GCN đủ điều kiện hành nghề</w:t>
            </w:r>
            <w:r>
              <w:rPr>
                <w:rFonts w:ascii="Times New Roman" w:hAnsi="Times New Roman" w:eastAsia="Times New Roman" w:cs="Times New Roman"/>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275/TĐG</w:t>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Tài khoản số</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4"/>
                <w:sz w:val="24"/>
                <w:szCs w:val="24"/>
                <w:highlight w:val="yellow"/>
              </w:rPr>
            </w:pPr>
            <w:r>
              <w:rPr>
                <w:rFonts w:ascii="Times New Roman" w:hAnsi="Times New Roman" w:eastAsia="Times New Roman" w:cs="Times New Roman"/>
                <w:color w:val="000000" w:themeColor="text1"/>
                <w:spacing w:val="-4"/>
                <w:sz w:val="24"/>
                <w:szCs w:val="24"/>
              </w:rPr>
              <w:t xml:space="preserve">1505112366666 tại Agribank Chi nhánh Hà Nội II</w:t>
            </w:r>
            <w:r>
              <w:rPr>
                <w:rFonts w:ascii="Times New Roman" w:hAnsi="Times New Roman" w:eastAsia="Times New Roman" w:cs="Times New Roman"/>
                <w:color w:val="000000" w:themeColor="text1"/>
                <w:spacing w:val="-4"/>
                <w:sz w:val="24"/>
                <w:szCs w:val="2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Đại diện</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Chức vụ</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Chủ Tịch HĐQT kiêm Tổng Giám Đốc</w:t>
            </w:r>
            <w:r>
              <w:rPr>
                <w:rFonts w:ascii="Times New Roman" w:hAnsi="Times New Roman" w:eastAsia="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sz w:val="24"/>
                <w:szCs w:val="24"/>
              </w:rPr>
            </w:r>
            <w:bookmarkStart w:id="1" w:name="_Hlk216105751"/>
            <w:r>
              <w:rPr>
                <w:rFonts w:ascii="Times New Roman" w:hAnsi="Times New Roman" w:eastAsia="Times New Roman" w:cs="Times New Roman"/>
                <w:sz w:val="24"/>
                <w:szCs w:val="24"/>
              </w:rPr>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Cs/>
                <w:i/>
                <w:iCs/>
                <w:sz w:val="24"/>
                <w:szCs w:val="24"/>
              </w:rPr>
            </w:r>
            <w:bookmarkEnd w:id="1"/>
            <w:r>
              <w:rPr>
                <w:rFonts w:ascii="Times New Roman" w:hAnsi="Times New Roman" w:eastAsia="Times New Roman" w:cs="Times New Roman"/>
                <w:b/>
                <w:bCs/>
                <w:color w:val="000000" w:themeColor="text1"/>
                <w:sz w:val="24"/>
                <w:szCs w:val="24"/>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DL368449, Địa chỉ trên sổ Tòa L31M(R1.02) Lô đất B5-CT01 dự án Khu đô thị Gia Lâm- Vinhomes Ocean Park thị trấn</w:t>
      </w:r>
      <w:r>
        <w:rPr>
          <w:bCs/>
        </w:rPr>
        <w:t xml:space="preserve">  Trâu Quỳ huyện Gia Lâm thành phố Hà Nội, Diện tích: Đất ở tại đô thị (68.2 m2) | Tài sản tại: Thị trấn Trâu Quỳ, Huyện Gia Lâm, Thành phố Hà Nội, đường Căn thường, tầng cao 26/31, độ rộng đường trước mặt tài sản 10m, mặt tiền 10m, 21.0014278, 105.9423798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2026-04-14T08:55:50Z</dcterms:modified>
</cp:coreProperties>
</file>