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rFonts w:ascii="Times New Roman" w:hAnsi="Times New Roman" w:cs="Times New Roman"/>
                <w:bCs/>
                <w:i/>
                <w:color w:val="000000" w:themeColor="text1"/>
                <w:sz w:val="24"/>
                <w:szCs w:val="24"/>
              </w:rPr>
            </w:pPr>
            <w:r>
              <w:rPr>
                <w:i/>
                <w:color w:val="000000" w:themeColor="text1"/>
              </w:rPr>
              <w:t xml:space="preserve">Số: </w:t>
            </w:r>
            <w:r>
              <w:rPr>
                <w:rFonts w:ascii="Times New Roman" w:hAnsi="Times New Roman" w:eastAsia="Times New Roman" w:cs="Times New Roman"/>
                <w:i/>
                <w:iCs/>
                <w:color w:val="000000" w:themeColor="text1"/>
                <w:spacing w:val="3"/>
                <w:sz w:val="24"/>
                <w:szCs w:val="24"/>
                <w:highlight w:val="white"/>
              </w:rPr>
              <w:t xml:space="preserve">275/2026/0474/VFI-HĐTĐ.65.A</w:t>
            </w:r>
            <w:r>
              <w:rPr>
                <w:rFonts w:ascii="Times New Roman" w:hAnsi="Times New Roman" w:eastAsia="Times New Roman" w:cs="Times New Roman"/>
                <w:i/>
                <w:iCs/>
                <w:color w:val="000000" w:themeColor="text1"/>
                <w:sz w:val="24"/>
                <w:szCs w:val="24"/>
              </w:rPr>
            </w:r>
            <w:r>
              <w:rPr>
                <w:rFonts w:ascii="Times New Roman" w:hAnsi="Times New Roman" w:eastAsia="Times New Roman" w:cs="Times New Roman"/>
                <w:i/>
                <w:iCs/>
                <w:color w:val="000000" w:themeColor="text1"/>
                <w:sz w:val="24"/>
                <w:szCs w:val="24"/>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24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Phạm Văn Cường</w:t>
            </w:r>
            <w:bookmarkEnd w:id="0"/>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001084031408</w:t>
            </w:r>
            <w:r>
              <w:rPr>
                <w:bCs/>
                <w:color w:val="000000" w:themeColor="text1"/>
                <w:lang w:val="vi-VN"/>
              </w:rPr>
            </w:r>
          </w:p>
        </w:tc>
      </w:tr>
      <w:tr>
        <w:trPr>
          <w:trHeight w:val="303"/>
        </w:trPr>
        <w:tc>
          <w:tcPr>
            <w:tcBorders/>
            <w:tcW w:w="1505" w:type="dxa"/>
            <w:vAlign w:val="center"/>
            <w:vMerge w:val="restart"/>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Năm sinh</w:t>
            </w:r>
            <w:r>
              <w:rPr>
                <w:bCs/>
                <w:color w:val="000000" w:themeColor="text1"/>
                <w:lang w:val="pt-BR"/>
              </w:rPr>
            </w:r>
          </w:p>
        </w:tc>
        <w:tc>
          <w:tcPr>
            <w:tcBorders/>
            <w:tcW w:w="270" w:type="dxa"/>
            <w:vAlign w:val="center"/>
            <w:vMerge w:val="restart"/>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vMerge w:val="restart"/>
            <w:textDirection w:val="lrTb"/>
            <w:noWrap w:val="false"/>
          </w:tcPr>
          <w:p>
            <w:pPr>
              <w:pBdr/>
              <w:spacing w:after="40" w:before="40" w:line="288" w:lineRule="auto"/>
              <w:ind/>
              <w:contextualSpacing w:val="true"/>
              <w:rPr>
                <w:color w:val="000000" w:themeColor="text1"/>
                <w:lang w:val="vi-VN"/>
              </w:rPr>
            </w:pPr>
            <w:r>
              <w:rPr>
                <w:color w:val="000000" w:themeColor="text1"/>
                <w:lang w:val="vi-VN"/>
              </w:rPr>
              <w:t xml:space="preserve">1984</w:t>
            </w:r>
            <w:r>
              <w:rPr>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Bái Độ, Trị Thủy, Phú Xuyên Hà Nôi (nay là xã Đại Xuyên, thành phố Hà Nội)</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90, tờ bản đồ số 10 có địa chỉ: Khu Dịch Vụ, xã Vân Từ, huyện Phú Xuyên, Thành phố Hà Nội (nay là xã Chuyên Mỹ, thành phố Hà Nội) theo Giấy chứng nhận quyền sử dụng đất quyền sở hữu nhà ở và tài sản khác gắn liền với đất </w:t>
      </w:r>
      <w:r>
        <w:rPr>
          <w:rFonts w:ascii="Times New Roman" w:hAnsi="Times New Roman" w:eastAsia="Times New Roman" w:cs="Times New Roman"/>
          <w:color w:val="000000"/>
          <w:sz w:val="24"/>
        </w:rPr>
        <w:t xml:space="preserve"> số: CI 243502, số vào sổ cấp GCN: CS-PX 02730 do Sở tài nguyên và môi trường thành phố Hà Nội cấp ngày 18/08/2017; Chủ sử dụng đất là Ông Phạm Văn Kiên và vợ Nguyễn Thị Quế</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6.481.481</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518.519</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7.000.000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Bảy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Phạm Văn Kiên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2026-03-27T01:27:27Z</dcterms:modified>
</cp:coreProperties>
</file>