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Arial" w:hAnsi="Arial" w:eastAsia="Arial" w:cs="Arial"/>
                <w:color w:val="0000ff"/>
                <w:sz w:val="24"/>
              </w:rPr>
              <w:t xml:space="preserve">275/2025/0902/VFI-HĐTĐ.44.B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b/>
                <w:color w:val="000000"/>
                <w:sz w:val="24"/>
              </w:rPr>
              <w:t xml:space="preserve">ÔNG PHẠM VĂN QUÂN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pacing w:val="-6"/>
                <w:sz w:val="24"/>
              </w:rPr>
              <w:t xml:space="preserve">1979</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pacing w:val="-6"/>
                <w:sz w:val="24"/>
              </w:rPr>
              <w:t xml:space="preserve">001079018603</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Thôn An Cư, xã Trầm Lộng, huyện Ứng Hòa,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AA03806302, Số thửa 276, Tờ</w:t>
      </w:r>
      <w:r>
        <w:rPr>
          <w:bCs/>
        </w:rPr>
        <w:t xml:space="preserve"> bản đồ 479, Địa chỉ trên sổ Thôn Đông Thịnh, đặc khu Vân Đồn, tỉnh Quảng Ninh, Diện tích: Đất ở nông thôn (80 m2) | Tài sản tại: Xã Đông Xá, Huyện Vân Đồn, Tỉnh Quảng Ninh, độ rộng đường trước mặt tài sản 10m, mặt tiền 4m, 21.062222222222, 107.41155555556</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HSTD-20260320-0001/HĐTĐ-VFI-01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HSTD-20260320-0001/HĐTĐ-VFI </w:t>
      </w:r>
      <w:r>
        <w:rPr>
          <w:color w:val="000000" w:themeColor="text1"/>
        </w:rPr>
        <w:t xml:space="preserve">đã ký </w:t>
      </w:r>
      <w:r>
        <w:rPr>
          <w:color w:val="000000" w:themeColor="text1"/>
        </w:rPr>
        <w:t xml:space="preserve">ngày 5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25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123456789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HSTD-20260320-0001/HĐTĐ-VFI-01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HSTD-20260320-0001/HĐTĐ-VFI </w:t>
      </w:r>
      <w:r>
        <w:rPr>
          <w:i/>
          <w:iCs/>
          <w:color w:val="000000" w:themeColor="text1"/>
        </w:rPr>
        <w:t xml:space="preserve">,</w:t>
      </w:r>
      <w:r>
        <w:rPr>
          <w:i/>
          <w:iCs/>
          <w:color w:val="000000" w:themeColor="text1"/>
        </w:rPr>
        <w:t xml:space="preserve">ngày 5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HSTD-20260320-0001/HĐTĐ-VFI đã ký ngày 5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HSTD-20260320-0001/HĐTĐ-VFI đã ký ngày 5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HSTD-20260320-0001/HĐTĐ-VFI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HSTD-20260320-0001/HĐTĐ-VFI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2026-03-30T08:00:38Z</dcterms:modified>
</cp:coreProperties>
</file>