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lang w:val="undefined"/>
              </w:rPr>
              <w:t xml:space="preserve">ố: </w:t>
            </w:r>
            <w:r>
              <w:rPr>
                <w:i/>
                <w:iCs/>
                <w:color w:val="000000" w:themeColor="text1"/>
                <w:lang w:val="undefined"/>
              </w:rPr>
              <w:t xml:space="preserve">275/2026/0399/VFI-HĐTĐ.39.A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SẢN XUẤT PHÂN BÓN PHƯỢNG HOÀNG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3700 895 746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Lô B7 - B8, đường D9, KCN Rạch Bắp, Phường Tây Nam, Thành Phố Hồ Chí Minh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Đào Thị Ngọc Lan</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10"/>
          <w:sz w:val="24"/>
        </w:rPr>
        <w:t xml:space="preserve">Quyền sử dụng đất thuê trả tiền một lần và tài sản gắn liền với đất tại thửa đất số: 535, tờ bản đồ số: 11, có địa chỉ tại: Khu công nghiệp Rạch Bắp, phường An Tây, thành phố Bến Cát, tỉnh Bình Dương (Nay là Phường Tây Nam, Thành phố Hồ Chí Minh) theo Giấy</w:t>
      </w:r>
      <w:r>
        <w:rPr>
          <w:rFonts w:ascii="Times New Roman" w:hAnsi="Times New Roman" w:eastAsia="Times New Roman" w:cs="Times New Roman"/>
          <w:color w:val="000000"/>
          <w:spacing w:val="-10"/>
          <w:sz w:val="24"/>
        </w:rPr>
        <w:t xml:space="preserve"> chứng nhận quyền sử dụng đất Quyền sở hữu nhà ở và tài sản khác gắn liền với đất số: CB 049687, số vào sổ cấp GCN: CT13062 do Sở Tài nguyên và Môi trường tỉnh Bình Dương cấp ngày 19/01/2016. Chủ sử dụng đất là Công ty TNHH sản xuất phân bón Phượng Hoàng.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2.800.000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37.800.000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mươi bảy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đã</w:t>
      </w:r>
      <w:r>
        <w:rPr>
          <w:color w:val="000000" w:themeColor="text1"/>
          <w:spacing w:val="-8"/>
        </w:rPr>
        <w:t xml:space="preserve"> </w:t>
      </w:r>
      <w:r>
        <w:rPr>
          <w:color w:val="000000" w:themeColor="text1"/>
          <w:spacing w:val="-8"/>
        </w:rPr>
        <w:t xml:space="preserve">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14:ligatures w14:val="none"/>
        </w:rPr>
      </w:pPr>
      <w:r>
        <w:rPr>
          <w:color w:val="000000" w:themeColor="text1"/>
          <w:lang w:val="undefined"/>
        </w:rPr>
        <w:t xml:space="preserve">Bên A thanh toán tạm ứng phí khảo sát (lần 1) 5.000.000 (đồng) cho bên B trước thời điểm đi khảo sát</w:t>
      </w:r>
      <w:r>
        <w:rPr>
          <w:color w:val="000000" w:themeColor="text1"/>
          <w:lang w:val="undefined"/>
        </w:rPr>
      </w:r>
    </w:p>
    <w:p>
      <w:pPr>
        <w:numPr>
          <w:ilvl w:val="0"/>
          <w:numId w:val="3"/>
        </w:numPr>
        <w:pBdr>
          <w:top w:val="none" w:color="000000" w:sz="4" w:space="0"/>
          <w:left w:val="none" w:color="000000" w:sz="4" w:space="0"/>
          <w:bottom w:val="none" w:color="000000" w:sz="4" w:space="0"/>
          <w:right w:val="none" w:color="000000" w:sz="4" w:space="0"/>
        </w:pBdr>
        <w:spacing w:after="120" w:before="120" w:line="312" w:lineRule="auto"/>
        <w:ind w:hanging="709" w:left="709"/>
        <w:jc w:val="both"/>
        <w:rPr>
          <w:color w:val="000000" w:themeColor="text1"/>
          <w14:ligatures w14:val="none"/>
        </w:rPr>
      </w:pPr>
      <w:r>
        <w:rPr>
          <w:color w:val="000000" w:themeColor="text1"/>
          <w:lang w:val="undefined"/>
        </w:rPr>
        <w:t xml:space="preserve">Bên A có trách nhiệm thanh toán phí thẩm định còn lại cho Bên B trước khi Bên B phát hành Chứng thư thẩm định và hóa đơn tài chính hợp lệ, trong mọi trường hợp phí dịch vụ phải được thanh toán chậm nhất là không quá 05 (năm) ngày làm việc sau khi Bên B cung </w:t>
      </w:r>
      <w:r>
        <w:rPr>
          <w:color w:val="000000" w:themeColor="text1"/>
          <w:lang w:val="undefined"/>
        </w:rPr>
        <w:t xml:space="preserve">cấp Chứng thư thẩm định và hóa đơn tài chính hợp lệ cho Bên A.</w:t>
      </w:r>
      <w:r>
        <w:rPr>
          <w:color w:val="000000" w:themeColor="text1"/>
          <w:lang w:val="undefined"/>
        </w:rPr>
      </w:r>
    </w:p>
    <w:p>
      <w:pPr>
        <w:numPr>
          <w:ilvl w:val="0"/>
          <w:numId w:val="3"/>
        </w:numPr>
        <w:pBdr/>
        <w:spacing w:after="120" w:before="120" w:line="312" w:lineRule="auto"/>
        <w:ind w:hanging="709" w:left="709"/>
        <w:jc w:val="both"/>
        <w:rPr>
          <w:b/>
          <w:bCs/>
          <w:color w:val="000000" w:themeColor="text1"/>
          <w:spacing w:val="-8"/>
        </w:rPr>
      </w:pPr>
      <w:r>
        <w:rPr>
          <w:b/>
          <w:bCs/>
          <w:color w:val="000000" w:themeColor="text1"/>
          <w:spacing w:val="-8"/>
          <w:highlight w:val="none"/>
        </w:rPr>
      </w:r>
      <w:r>
        <w:rPr>
          <w:b/>
          <w:bCs/>
          <w:color w:val="000000" w:themeColor="text1"/>
          <w:spacing w:val="-8"/>
          <w:highlight w:val="none"/>
        </w:rPr>
      </w:r>
      <w:r>
        <w:rPr>
          <w:b/>
          <w:bCs/>
          <w:color w:val="000000" w:themeColor="text1"/>
          <w:spacing w:val="-8"/>
          <w:highlight w:val="none"/>
        </w:rPr>
      </w: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center"/>
        <w:rPr>
          <w:b/>
          <w:color w:val="000000" w:themeColor="text1"/>
        </w:rPr>
      </w:pPr>
      <w:r>
        <w:rPr>
          <w:b/>
          <w:color w:val="000000" w:themeColor="text1"/>
        </w:rPr>
        <w:br w:type="page" w:clear="all"/>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r>
        <w:rPr>
          <w:b/>
          <w:bCs/>
          <w:i/>
          <w:iCs/>
          <w:color w:val="000000" w:themeColor="text1"/>
        </w:rPr>
        <w:t xml:space="preserve">HSTD-20260311-0013/HĐTĐ-VFI-01</w:t>
      </w:r>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HSTD-20260311-0013/HĐTĐ-VFI </w:t>
      </w:r>
      <w:r>
        <w:rPr>
          <w:color w:val="000000" w:themeColor="text1"/>
        </w:rPr>
        <w:t xml:space="preserve">đã ký </w:t>
      </w:r>
      <w:r>
        <w:rPr>
          <w:color w:val="000000" w:themeColor="text1"/>
        </w:rPr>
        <w:t xml:space="preserve">ngày 13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13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SẢN XUẤT PHÂN BÓN PHƯỢNG HOÀNG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3700 895 746</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Lô B7 - B8, đường D9, KCN Rạch Bắp, Phường Tây Nam, Thành Phố Hồ Chí Minh</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Đào Thị Ngọc Lan</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HSTD-20260311-0013/HĐTĐ-VFI-01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HSTD-20260311-0013/HĐTĐ-VFI </w:t>
      </w:r>
      <w:r>
        <w:rPr>
          <w:i/>
          <w:iCs/>
          <w:color w:val="000000" w:themeColor="text1"/>
        </w:rPr>
        <w:t xml:space="preserve">,</w:t>
      </w:r>
      <w:r>
        <w:rPr>
          <w:i/>
          <w:iCs/>
          <w:color w:val="000000" w:themeColor="text1"/>
        </w:rPr>
        <w:t xml:space="preserve">ngày 13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w:t>
      </w:r>
      <w:r>
        <w:rPr>
          <w:b/>
          <w:bCs/>
          <w:color w:val="000000" w:themeColor="text1"/>
        </w:rPr>
        <w:t xml:space="preserve">Quy định mức phụ phí bổ sung đã đ</w:t>
      </w:r>
      <w:r>
        <w:rPr>
          <w:b/>
          <w:bCs/>
          <w:color w:val="000000" w:themeColor="text1"/>
        </w:rPr>
        <w:t xml:space="preserve">ược</w:t>
      </w:r>
      <w:r>
        <w:rPr>
          <w:b/>
          <w:bCs/>
          <w:color w:val="000000" w:themeColor="text1"/>
        </w:rPr>
        <w:t xml:space="preserve"> thỏa thuận tại mục 3.2, Điều 3, </w:t>
      </w:r>
      <w:r>
        <w:rPr>
          <w:b/>
          <w:bCs/>
          <w:color w:val="000000" w:themeColor="text1"/>
        </w:rPr>
        <w:t xml:space="preserve">HĐDVTĐG </w:t>
      </w:r>
      <w:r>
        <w:rPr>
          <w:b/>
          <w:bCs/>
          <w:color w:val="000000" w:themeColor="text1"/>
        </w:rPr>
        <w:t xml:space="preserve">số</w:t>
      </w:r>
      <w:r>
        <w:rPr>
          <w:b/>
          <w:bCs/>
          <w:color w:val="000000" w:themeColor="text1"/>
        </w:rPr>
        <w:t xml:space="preserve"> HSTD-20260311-0013/HĐTĐ-VFI</w:t>
      </w:r>
      <w:r>
        <w:rPr>
          <w:b/>
          <w:bCs/>
          <w:color w:val="000000" w:themeColor="text1"/>
        </w:rPr>
        <w:t xml:space="preserve"> đã ký </w:t>
      </w:r>
      <w:r>
        <w:rPr>
          <w:b/>
          <w:bCs/>
          <w:color w:val="000000" w:themeColor="text1"/>
        </w:rPr>
        <w:t xml:space="preserve">ngày 13 tháng 3 năm 2026</w:t>
      </w:r>
      <w:r>
        <w:rPr>
          <w:b/>
          <w:bCs/>
          <w:color w:val="000000" w:themeColor="text1"/>
        </w:rPr>
        <w:t xml:space="preserve">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HSTD-20260311-0013/HĐTĐ-VFI đã ký ngày 13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HSTD-20260311-0013/HĐTĐ-VFI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w:t>
      </w:r>
      <w:r>
        <w:rPr>
          <w:color w:val="000000" w:themeColor="text1"/>
        </w:rPr>
        <w:t xml:space="preserve"> </w:t>
      </w:r>
      <w:r>
        <w:rPr>
          <w:color w:val="000000" w:themeColor="text1"/>
        </w:rPr>
        <w:t xml:space="preserve">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HSTD-20260311-0013/HĐTĐ-VFI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880" w:type="pct"/>
        <w:tblBorders/>
        <w:tblLook w:val="01E0" w:firstRow="1" w:lastRow="1" w:firstColumn="1" w:lastColumn="1" w:noHBand="0" w:noVBand="0"/>
      </w:tblPr>
      <w:tblGrid>
        <w:gridCol w:w="4769"/>
        <w:gridCol w:w="4777"/>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SẢN XUẤT PHÂN BÓN PHƯỢNG HOÀNG</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t xml:space="preserve"> </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p>
      <w:pPr>
        <w:pBdr/>
        <w:spacing w:line="312" w:lineRule="auto"/>
        <w:ind/>
        <w:jc w:val="center"/>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6A783570"/>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abstractNum w:abstractNumId="35">
    <w:nsid w:val="618019D5"/>
    <w:lvl w:ilvl="0">
      <w:isLgl w:val="false"/>
      <w:lvlJc w:val="left"/>
      <w:lvlText w:val="-"/>
      <w:numFmt w:val="bullet"/>
      <w:pPr>
        <w:pBdr/>
        <w:spacing/>
        <w:ind w:hanging="360" w:left="927"/>
      </w:pPr>
      <w:rPr>
        <w:rFonts w:hint="default" w:ascii="Symbol" w:hAnsi="Symbol" w:eastAsia="Symbol" w:cs="Symbol"/>
      </w:rPr>
      <w:start w:val="1"/>
      <w:suff w:val="tab"/>
    </w:lvl>
    <w:lvl w:ilvl="1">
      <w:isLgl w:val="false"/>
      <w:lvlJc w:val="left"/>
      <w:lvlText w:val="o"/>
      <w:numFmt w:val="bullet"/>
      <w:pPr>
        <w:pBdr/>
        <w:spacing/>
        <w:ind w:hanging="360" w:left="1647"/>
      </w:pPr>
      <w:rPr>
        <w:rFonts w:hint="default" w:ascii="Courier New" w:hAnsi="Courier New" w:eastAsia="Courier New" w:cs="Courier New"/>
      </w:rPr>
      <w:start w:val="1"/>
      <w:suff w:val="tab"/>
    </w:lvl>
    <w:lvl w:ilvl="2">
      <w:isLgl w:val="false"/>
      <w:lvlJc w:val="left"/>
      <w:lvlText w:val=""/>
      <w:numFmt w:val="bullet"/>
      <w:pPr>
        <w:pBdr/>
        <w:spacing/>
        <w:ind w:hanging="360" w:left="2367"/>
      </w:pPr>
      <w:rPr>
        <w:rFonts w:hint="default" w:ascii="Wingdings" w:hAnsi="Wingdings" w:eastAsia="Wingdings" w:cs="Wingdings"/>
      </w:rPr>
      <w:start w:val="1"/>
      <w:suff w:val="tab"/>
    </w:lvl>
    <w:lvl w:ilvl="3">
      <w:isLgl w:val="false"/>
      <w:lvlJc w:val="left"/>
      <w:lvlText w:val=""/>
      <w:numFmt w:val="bullet"/>
      <w:pPr>
        <w:pBdr/>
        <w:spacing/>
        <w:ind w:hanging="360" w:left="3087"/>
      </w:pPr>
      <w:rPr>
        <w:rFonts w:hint="default" w:ascii="Symbol" w:hAnsi="Symbol" w:eastAsia="Symbol" w:cs="Symbol"/>
      </w:rPr>
      <w:start w:val="1"/>
      <w:suff w:val="tab"/>
    </w:lvl>
    <w:lvl w:ilvl="4">
      <w:isLgl w:val="false"/>
      <w:lvlJc w:val="left"/>
      <w:lvlText w:val="o"/>
      <w:numFmt w:val="bullet"/>
      <w:pPr>
        <w:pBdr/>
        <w:spacing/>
        <w:ind w:hanging="360" w:left="3807"/>
      </w:pPr>
      <w:rPr>
        <w:rFonts w:hint="default" w:ascii="Courier New" w:hAnsi="Courier New" w:eastAsia="Courier New" w:cs="Courier New"/>
      </w:rPr>
      <w:start w:val="1"/>
      <w:suff w:val="tab"/>
    </w:lvl>
    <w:lvl w:ilvl="5">
      <w:isLgl w:val="false"/>
      <w:lvlJc w:val="left"/>
      <w:lvlText w:val=""/>
      <w:numFmt w:val="bullet"/>
      <w:pPr>
        <w:pBdr/>
        <w:spacing/>
        <w:ind w:hanging="360" w:left="4527"/>
      </w:pPr>
      <w:rPr>
        <w:rFonts w:hint="default" w:ascii="Wingdings" w:hAnsi="Wingdings" w:eastAsia="Wingdings" w:cs="Wingdings"/>
      </w:rPr>
      <w:start w:val="1"/>
      <w:suff w:val="tab"/>
    </w:lvl>
    <w:lvl w:ilvl="6">
      <w:isLgl w:val="false"/>
      <w:lvlJc w:val="left"/>
      <w:lvlText w:val=""/>
      <w:numFmt w:val="bullet"/>
      <w:pPr>
        <w:pBdr/>
        <w:spacing/>
        <w:ind w:hanging="360" w:left="5247"/>
      </w:pPr>
      <w:rPr>
        <w:rFonts w:hint="default" w:ascii="Symbol" w:hAnsi="Symbol" w:eastAsia="Symbol" w:cs="Symbol"/>
      </w:rPr>
      <w:start w:val="1"/>
      <w:suff w:val="tab"/>
    </w:lvl>
    <w:lvl w:ilvl="7">
      <w:isLgl w:val="false"/>
      <w:lvlJc w:val="left"/>
      <w:lvlText w:val="o"/>
      <w:numFmt w:val="bullet"/>
      <w:pPr>
        <w:pBdr/>
        <w:spacing/>
        <w:ind w:hanging="360" w:left="5967"/>
      </w:pPr>
      <w:rPr>
        <w:rFonts w:hint="default" w:ascii="Courier New" w:hAnsi="Courier New" w:eastAsia="Courier New" w:cs="Courier New"/>
      </w:rPr>
      <w:start w:val="1"/>
      <w:suff w:val="tab"/>
    </w:lvl>
    <w:lvl w:ilvl="8">
      <w:isLgl w:val="false"/>
      <w:lvlJc w:val="left"/>
      <w:lvlText w:val=""/>
      <w:numFmt w:val="bullet"/>
      <w:pPr>
        <w:pBdr/>
        <w:spacing/>
        <w:ind w:hanging="360" w:left="6687"/>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76</cp:revision>
  <dcterms:created xsi:type="dcterms:W3CDTF">2025-09-08T09:51:00Z</dcterms:created>
  <dcterms:modified xsi:type="dcterms:W3CDTF">2026-03-13T08:00:35Z</dcterms:modified>
</cp:coreProperties>
</file>