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275/2026/0523/VFI-HĐTĐ.21.A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26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line="288" w:lineRule="auto"/>
              <w:ind w:right="0" w:firstLine="0" w:left="0"/>
              <w:rPr/>
            </w:pPr>
            <w:r>
              <w:rPr>
                <w:rFonts w:ascii="Times New Roman" w:hAnsi="Times New Roman" w:eastAsia="Times New Roman" w:cs="Times New Roman"/>
                <w:b/>
                <w:color w:val="000000"/>
                <w:sz w:val="24"/>
              </w:rPr>
              <w:t xml:space="preserve">ÔNG NGUYỄN MẠNH HOAN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88" w:lineRule="auto"/>
              <w:ind w:right="0" w:firstLine="0" w:left="0"/>
              <w:jc w:val="both"/>
              <w:rPr/>
            </w:pPr>
            <w:r>
              <w:rPr>
                <w:rFonts w:ascii="Times New Roman" w:hAnsi="Times New Roman" w:eastAsia="Times New Roman" w:cs="Times New Roman"/>
                <w:color w:val="000000"/>
                <w:sz w:val="24"/>
              </w:rPr>
              <w:t xml:space="preserve">015094009812</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Giá trị Quyền sở hữu căn hộ chung cư số 3507, Tòa Z38.1 (TK2), Lô đất F5-CH01, Dự án Khu đô thị mới Tây Mỗ - Đại Mỗ - Vinhomes Park (Vinhomes Smart City), phường Tây Mỗ, thành phố Hà Nội theo Giấy chứng nhận quyền sử dụng đất, quyền sở hữu tài sản gắn liền</w:t>
      </w:r>
      <w:r>
        <w:rPr>
          <w:rFonts w:ascii="Times New Roman" w:hAnsi="Times New Roman" w:eastAsia="Times New Roman" w:cs="Times New Roman"/>
          <w:color w:val="000000"/>
          <w:sz w:val="24"/>
        </w:rPr>
        <w:t xml:space="preserve"> với đất số: AA 05499144, số vào sổ cấp GCN: VP 55536 do Văn phòng đăng ký đất đai Hà Nội cấp ngày 10/01/2026; Chủ sở hữu căn hộ là Ông Nguyễn Mạnh Hoan</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3.703.704</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296.296</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4.000.000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Bốn</w:t>
      </w:r>
      <w:r>
        <w:rPr>
          <w:i/>
          <w:color w:val="000000" w:themeColor="text1"/>
        </w:rPr>
        <w:t xml:space="preserve">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r>
              <w:rPr>
                <w:b/>
                <w:bCs/>
                <w:i/>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2026-04-04T09:04:55Z</dcterms:modified>
</cp:coreProperties>
</file>