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i/>
                <w:iCs/>
                <w:color w:val="000000" w:themeColor="text1"/>
              </w:rPr>
            </w:r>
            <w:r>
              <w:rPr>
                <w:rFonts w:ascii="Times New Roman" w:hAnsi="Times New Roman" w:eastAsia="Times New Roman" w:cs="Times New Roman"/>
                <w:i/>
                <w:iCs/>
                <w:color w:val="000000"/>
                <w:spacing w:val="-4"/>
                <w:sz w:val="24"/>
              </w:rPr>
              <w:t xml:space="preserve">275/2026/0361/VFI-HĐTĐ.48.A</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 tháng 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b/>
                <w:color w:val="000000"/>
                <w:sz w:val="24"/>
              </w:rPr>
              <w:t xml:space="preserve">ÔNG NGUYỄN MINH ĐỨC</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Năm sinh</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1992</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442, tờ bản đồ số 200 có địa chỉ: Xã Ngọc Thanh, thành phố Phúc Yên, tỉnh Vĩnh Phúc (nay là phường Xuân Hoà, tỉnh Phú Thọ) theo Giấy chứng nhận quyền sử dụng đất, quyền sở hữu nhà ở và tài sản gắn liền với đất số: DC 47797</w:t>
      </w:r>
      <w:r>
        <w:rPr>
          <w:rFonts w:ascii="Times New Roman" w:hAnsi="Times New Roman" w:eastAsia="Times New Roman" w:cs="Times New Roman"/>
          <w:color w:val="000000"/>
          <w:sz w:val="24"/>
        </w:rPr>
        <w:t xml:space="preserve">8, số vào sổ cấp GCN: CS04314 do Sở Tài nguyên và Môi trường tỉnh Vĩnh Phúc cấp ngày 30/6/2021 cho Ông Nguyễn Minh Đức</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 (Đã bao gồm VAT 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3.000.000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NGUYỄN MINH ĐỨC</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2026-03-06T02:45:57Z</dcterms:modified>
</cp:coreProperties>
</file>