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81b3a"/>
                <w:spacing w:val="3"/>
                <w:sz w:val="24"/>
                <w:szCs w:val="24"/>
                <w:highlight w:val="white"/>
              </w:rPr>
              <w:t xml:space="preserve">275/2026/0357/VFI-HĐTĐ.48.A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27 tháng 2 năm 2026</w:t>
            </w:r>
            <w:r>
              <w:rPr>
                <w:rFonts w:ascii="Times New Roman" w:hAnsi="Times New Roman" w:eastAsia="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b/>
                <w:color w:val="000000"/>
                <w:sz w:val="24"/>
              </w:rPr>
              <w:t xml:space="preserve">BÀ BÙI THỊ THU HƯƠNG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1978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Số 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033178004132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Địa chỉ </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Chung cư số 1106 Tòa chung cư NO10, khu đô thị mới Dịch Vọng, phường Dịch Vọng, quận Cầu Giấy, TP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282, tờ bản đồ số 45 có địa chỉ: Thôn Ninh Hải, xã Minh Châu, huyện Vân Đồn, Quảng Ninh, theo Giấy chứng nhận Quyền sử dụng đất, quyền sở hữu nhà ở và tài sản khác gắn liền với đất số: BP 745324, số vào sổ cấp GCN: CH 0054</w:t>
      </w:r>
      <w:r>
        <w:rPr>
          <w:rFonts w:ascii="Times New Roman" w:hAnsi="Times New Roman" w:eastAsia="Times New Roman" w:cs="Times New Roman"/>
          <w:color w:val="000000"/>
          <w:sz w:val="24"/>
        </w:rPr>
        <w:t xml:space="preserve">8 do UBND huyện Vân Đồn cấp ngày 02/02/2016; Chủ sử dụng đất: Bà Bùi Thị Thu Hương (cập nhật ngày 08/03/2017).</w:t>
      </w:r>
      <w:r>
        <w:rPr>
          <w:bCs/>
        </w:rPr>
      </w:r>
      <w:r>
        <w:rPr>
          <w:bCs/>
          <w:color w:val="000000"/>
          <w:spacing w:val="-6"/>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1106 Tòa chung cư NO10, Khu đô thị mới Dịch Vọng, phường Dịch Vọng, quận Cầu Giấy, TP Hà Nội theo Giấy chứng nhận Quyền sử dụng đất quyền sở hữu nhà ở và tài sản khác gắn liền với đất số CH 580581 số vào sổ cấp GCN: CS 06953 do Sở Tài ng</w:t>
      </w:r>
      <w:r>
        <w:rPr>
          <w:rFonts w:ascii="Times New Roman" w:hAnsi="Times New Roman" w:eastAsia="Times New Roman" w:cs="Times New Roman"/>
          <w:color w:val="000000"/>
          <w:sz w:val="24"/>
        </w:rPr>
        <w:t xml:space="preserve">uyên và Môi trường thành phố Hà Nội cấp ngày 08/03/2017 cho bà Bùi Thị Thu Hương và ông Nguyễn Tiến Ngữ</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bCs/>
          <w:color w:val="000000" w:themeColor="text1"/>
          <w:highlight w:val="none"/>
        </w:rPr>
      </w:pPr>
      <w:r/>
      <w:bookmarkStart w:id="2" w:name="_Hlk208906103"/>
      <w:r/>
      <w:bookmarkEnd w:id="2"/>
      <w:r>
        <w:rPr>
          <w:b/>
          <w:color w:val="000000" w:themeColor="text1"/>
        </w:rPr>
      </w:r>
      <w:r>
        <w:rPr>
          <w:b/>
          <w:color w:val="000000" w:themeColor="text1"/>
          <w:highlight w:val="none"/>
        </w:rPr>
      </w:r>
      <w:r>
        <w:rPr>
          <w:b/>
          <w:color w:val="000000" w:themeColor="text1"/>
          <w:highlight w:val="none"/>
        </w:rPr>
      </w:r>
      <w:r>
        <w:rPr>
          <w:b/>
          <w:color w:val="000000" w:themeColor="text1"/>
          <w:highlight w:val="none"/>
        </w:rPr>
      </w:r>
      <w:r>
        <w:rPr>
          <w:b/>
          <w:bCs/>
          <w:color w:val="000000" w:themeColor="text1"/>
          <w:highlight w:val="none"/>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2026-03-04T08:49:37Z</dcterms:modified>
</cp:coreProperties>
</file>