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iCs/>
                <w:color w:val="000000" w:themeColor="text1"/>
                <w:lang w:val="undefined"/>
              </w:rPr>
              <w:t xml:space="preserve">Số: </w:t>
            </w:r>
            <w:r>
              <w:rPr>
                <w:i/>
                <w:iCs/>
                <w:color w:val="000000" w:themeColor="text1"/>
                <w:lang w:val="undefined"/>
              </w:rPr>
              <w:t xml:space="preserve">275/2026/0317/VFI-HĐTĐ.39.A</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 - CHI NHÁNH HÀ TÂY I – PHÒNG GIAO DỊCH VĂN MIẾU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color w:val="000000" w:themeColor="text1"/>
                <w:highlight w:val="none"/>
              </w:rPr>
            </w:pPr>
            <w:r>
              <w:rPr>
                <w:color w:val="000000" w:themeColor="text1"/>
              </w:rPr>
              <w:t xml:space="preserve">0100686174 081</w:t>
            </w:r>
            <w:r>
              <w:rPr>
                <w:color w:val="000000" w:themeColor="text1"/>
                <w:highlight w:val="none"/>
              </w:rPr>
            </w:r>
            <w:r>
              <w:rPr>
                <w:color w:val="000000" w:themeColor="text1"/>
                <w:highlight w: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53 đường Phú Thịnh, phường Sơn Tây, Hà Nội</w:t>
            </w:r>
            <w:r>
              <w:rPr>
                <w:bCs/>
                <w:color w:val="000000" w:themeColor="text1"/>
              </w:rPr>
            </w:r>
            <w:r>
              <w:rPr>
                <w:bCs/>
                <w:color w:val="000000" w:themeColor="text1"/>
              </w:rPr>
            </w:r>
          </w:p>
        </w:tc>
      </w:tr>
      <w:tr>
        <w:trPr>
          <w:cantSplit/>
          <w:trHeight w:val="491"/>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Bà Nguyễn Thị Thu Sinh</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(Theo Văn bản ủy quyền số 2664/QĐ-NHNo-PC ngày 01/12/2022 của Tổng giám đốc Agribank về việc “Ủy quyền thực hiện nhiệm vụ, quyền hạn của người đại diện theo pháp luật”)</w:t>
            </w:r>
            <w:r>
              <w:rPr>
                <w:b w:val="0"/>
                <w:bCs w:val="0"/>
                <w:color w:val="000000" w:themeColor="text1"/>
              </w:rPr>
            </w:r>
            <w:r>
              <w:rPr>
                <w:b w:val="0"/>
                <w:bCs w:val="0"/>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
                <w:bCs/>
                <w:color w:val="000000" w:themeColor="text1"/>
                <w:u w:val="single"/>
              </w:rPr>
            </w:pPr>
            <w:r>
              <w:rPr>
                <w:b/>
                <w:bCs/>
                <w:color w:val="000000" w:themeColor="text1"/>
                <w:u w:val="single"/>
              </w:rPr>
              <w:t xml:space="preserve">BÊN C</w:t>
            </w:r>
            <w:r>
              <w:rPr>
                <w:b/>
                <w:bCs/>
                <w:color w:val="000000" w:themeColor="text1"/>
                <w:u w:val="single"/>
              </w:rPr>
            </w:r>
            <w:r>
              <w:rPr>
                <w:b/>
                <w:bCs/>
                <w:color w:val="000000" w:themeColor="text1"/>
                <w:u w:val="single"/>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i/>
                <w:iCs/>
              </w:rPr>
            </w:pPr>
            <w:r>
              <w:rPr>
                <w:bCs/>
                <w:i/>
                <w:iCs/>
              </w:rPr>
            </w:r>
            <w:r>
              <w:rPr>
                <w:bCs/>
                <w:i/>
                <w:iCs/>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color w:val="000000" w:themeColor="text1"/>
        </w:rPr>
      </w:pPr>
      <w:r>
        <w:rPr>
          <w:color w:val="000000" w:themeColor="text1"/>
          <w:highlight w:val="none"/>
        </w:rPr>
      </w:r>
      <w:r>
        <w:rPr>
          <w:color w:val="000000" w:themeColor="text1"/>
          <w:highlight w:val="none"/>
        </w:rPr>
        <w:t xml:space="preserve">Q</w:t>
      </w:r>
      <w:r>
        <w:rPr>
          <w:color w:val="000000" w:themeColor="text1"/>
          <w:highlight w:val="none"/>
        </w:rPr>
        <w:t xml:space="preserve">uyền sử dụng đất tại thửa đất số: 526, tờ bản đồ số 26 có địa chỉ: Thôn Đồi Vua, xã Đoài Phương, thành phố Hà Nội theo Giấy chứng nhận quyền sử dụng đất quyền sở hữu tài sản gắn liền với đất số: AA 04406491, số vào sổ cấp GCN: CN 5968 do Chi nhánh văn phòn</w:t>
      </w:r>
      <w:r>
        <w:rPr>
          <w:color w:val="000000" w:themeColor="text1"/>
          <w:highlight w:val="none"/>
        </w:rPr>
        <w:t xml:space="preserve">g đăng kí đất đai Hà Nội thị xã Sơn Tây cấp ngày 09/02/2026; Chủ sử dụng đất là Bà Hoàng Thị Tú Anh</w:t>
      </w:r>
      <w:r>
        <w:rPr>
          <w:color w:val="000000" w:themeColor="text1"/>
          <w:highlight w:val="none"/>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77</cp:revision>
  <dcterms:created xsi:type="dcterms:W3CDTF">2025-09-08T09:51:00Z</dcterms:created>
  <dcterms:modified xsi:type="dcterms:W3CDTF">2026-03-04T03:32:17Z</dcterms:modified>
</cp:coreProperties>
</file>