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275/2026/0169/VFI-HĐTĐ.48.A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21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TRẦN VĂN PHƯƠNG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036085008603</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538, tờ bản đồ số: 11 có địa chỉ: 16A Lã Xuân Oai, phường Long Trường, Quận 9, thành phố Hồ Chí Minh (nay là phường Long Thành, thành phố Hồ Chí Minh) theo Giấy chứng nhận Quyền sử dụng đất quyền sở hữu nhà ở và tài sản k</w:t>
      </w:r>
      <w:r>
        <w:rPr>
          <w:rFonts w:ascii="Times New Roman" w:hAnsi="Times New Roman" w:eastAsia="Times New Roman" w:cs="Times New Roman"/>
          <w:color w:val="000000"/>
          <w:sz w:val="24"/>
        </w:rPr>
        <w:t xml:space="preserve">hác gắn liền với đất số: BT 687878, số vào sổ cấp GCN: CH03330 do Uỷ ban nhân dân quận 9 cấp ngày 07/5/2014; Chủ sử dụng đất là Ông Trần Văn Phương và Bà Nguyễn Thị Ngọc (cập nhập ngày 14/4/2025)</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TRẦN VĂN PHƯƠNG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2026-01-28T03:39:02Z</dcterms:modified>
</cp:coreProperties>
</file>