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 w:val="0"/>
                <w:bCs w:val="0"/>
                <w:i/>
                <w:color w:val="000000" w:themeColor="text1"/>
              </w:rPr>
            </w:pPr>
            <w:r>
              <w:rPr>
                <w:b w:val="0"/>
                <w:bCs w:val="0"/>
                <w:i/>
                <w:iCs/>
                <w:color w:val="000000" w:themeColor="text1"/>
              </w:rPr>
              <w:t xml:space="preserve">Số: </w:t>
            </w:r>
            <w:r>
              <w:rPr>
                <w:b w:val="0"/>
                <w:bCs w:val="0"/>
                <w:i/>
                <w:iCs/>
                <w:color w:val="000000" w:themeColor="text1"/>
              </w:rPr>
            </w:r>
            <w:r>
              <w:rPr>
                <w:rFonts w:ascii="Times New Roman" w:hAnsi="Times New Roman" w:eastAsia="Times New Roman" w:cs="Times New Roman"/>
                <w:b w:val="0"/>
                <w:bCs w:val="0"/>
                <w:i/>
                <w:iCs/>
                <w:color w:val="000000"/>
                <w:spacing w:val="-4"/>
                <w:sz w:val="24"/>
              </w:rPr>
              <w:t xml:space="preserve">275/2026/0178/VFI-HĐTĐ.48.A</w:t>
            </w:r>
            <w:r>
              <w:rPr>
                <w:b w:val="0"/>
                <w:bCs w:val="0"/>
                <w:i/>
                <w:iCs/>
                <w:color w:val="000000" w:themeColor="text1"/>
              </w:rPr>
            </w:r>
            <w:r>
              <w:rPr>
                <w:b w:val="0"/>
                <w:bCs w:val="0"/>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b w:val="0"/>
                <w:bCs w:val="0"/>
                <w:i/>
                <w:iCs/>
                <w:color w:val="000000" w:themeColor="text1"/>
              </w:rPr>
            </w:pPr>
            <w:r>
              <w:rPr>
                <w:b w:val="0"/>
                <w:bCs w:val="0"/>
                <w:i/>
                <w:iCs/>
                <w:color w:val="000000" w:themeColor="text1"/>
              </w:rPr>
              <w:t xml:space="preserve">    </w:t>
            </w:r>
            <w:r>
              <w:rPr>
                <w:b w:val="0"/>
                <w:bCs w:val="0"/>
                <w:i/>
                <w:iCs/>
                <w:color w:val="000000" w:themeColor="text1"/>
              </w:rPr>
              <w:t xml:space="preserve">    </w:t>
            </w:r>
            <w:r>
              <w:rPr>
                <w:b w:val="0"/>
                <w:bCs w:val="0"/>
                <w:i/>
                <w:iCs/>
                <w:color w:val="000000" w:themeColor="text1"/>
              </w:rPr>
              <w:t xml:space="preserve">  Hà Nội, </w:t>
            </w:r>
            <w:r>
              <w:rPr>
                <w:b w:val="0"/>
                <w:bCs w:val="0"/>
                <w:i/>
                <w:iCs/>
                <w:color w:val="000000" w:themeColor="text1"/>
              </w:rPr>
              <w:t xml:space="preserve">ngày 19 tháng 1 năm 2026</w:t>
            </w:r>
            <w:r>
              <w:rPr>
                <w:b w:val="0"/>
                <w:bCs w:val="0"/>
                <w:i/>
                <w:iCs/>
                <w:color w:val="000000" w:themeColor="text1"/>
              </w:rPr>
            </w:r>
            <w:r>
              <w:rPr>
                <w:b w:val="0"/>
                <w:bCs w:val="0"/>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DUYÊN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001188005148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54 (mới: 125), tờ bản đồ số: 00 (mới: 28) có địa chỉ: Khu gia đình XN vận tải thương nghiệp - Hà Trì, phường Kiến Hưng, quận Hà Đông, thành phố Hà Nội (nay là phường Kiến Hưng, thành phố Hà Nội) theo Giấy chứng nhận Quyền</w:t>
      </w:r>
      <w:r>
        <w:rPr>
          <w:rFonts w:ascii="Times New Roman" w:hAnsi="Times New Roman" w:eastAsia="Times New Roman" w:cs="Times New Roman"/>
          <w:color w:val="000000"/>
          <w:sz w:val="24"/>
        </w:rPr>
        <w:t xml:space="preserve"> sử dụng đất quyền sở hữu tài sản gắn liền với đất số: AA 00671455, số vào sổ cấp Giấy chứng nhận: CN - 241 do Chi nhánh văn phòng đăng ký đất đai Hà Nội - Quận Hà Đông cấp ngày 05/6/2025 cho Ông Nguyễn Kim Chi và Bà Nguyễn Thị Duyên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6.018.519</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481.481</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DUYÊN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2026-01-23T07:18:11Z</dcterms:modified>
</cp:coreProperties>
</file>