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HSTD-20260119-0004/HĐTĐ-VFI</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ĐỖ HỮU CHÍ</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049064020117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pBdr>
          <w:top w:val="none" w:color="000000" w:sz="4" w:space="0"/>
          <w:left w:val="none" w:color="000000" w:sz="4" w:space="0"/>
          <w:bottom w:val="none" w:color="000000" w:sz="4" w:space="0"/>
          <w:right w:val="none" w:color="000000" w:sz="4" w:space="0"/>
        </w:pBdr>
        <w:tabs>
          <w:tab w:val="left" w:leader="none" w:pos="1440"/>
        </w:tabs>
        <w:spacing w:after="120" w:before="120"/>
        <w:ind w:right="0" w:firstLine="0" w:left="0"/>
        <w:jc w:val="both"/>
        <w:rPr/>
      </w:pPr>
      <w:r>
        <w:rPr>
          <w:rFonts w:ascii="Times New Roman" w:hAnsi="Times New Roman" w:eastAsia="Times New Roman" w:cs="Times New Roman"/>
          <w:b/>
          <w:color w:val="000000"/>
          <w:sz w:val="24"/>
        </w:rPr>
        <w:t xml:space="preserve">   B</w:t>
      </w:r>
      <w:r>
        <w:rPr>
          <w:rFonts w:ascii="Times New Roman" w:hAnsi="Times New Roman" w:eastAsia="Times New Roman" w:cs="Times New Roman"/>
          <w:b/>
          <w:color w:val="000000"/>
          <w:sz w:val="24"/>
        </w:rPr>
        <w:t xml:space="preserve">ÊN </w:t>
      </w:r>
      <w:r>
        <w:rPr>
          <w:rFonts w:ascii="Times New Roman" w:hAnsi="Times New Roman" w:eastAsia="Times New Roman" w:cs="Times New Roman"/>
          <w:b/>
          <w:color w:val="000000"/>
          <w:sz w:val="24"/>
        </w:rPr>
        <w:t xml:space="preserve">C: </w:t>
      </w:r>
      <w:r>
        <w:rPr>
          <w:rFonts w:ascii="Times New Roman" w:hAnsi="Times New Roman" w:eastAsia="Times New Roman" w:cs="Times New Roman"/>
          <w:b/>
          <w:color w:val="000000"/>
          <w:sz w:val="24"/>
        </w:rPr>
        <w:t xml:space="preserve">NGÂN HÀNG THƯƠNG MẠI CỔ PHẦN SÀI GÒN - HÀ NỘI</w:t>
      </w:r>
      <w:r/>
    </w:p>
    <w:tbl>
      <w:tblPr>
        <w:tblStyle w:val="997"/>
        <w:tblInd w:w="141"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409"/>
        <w:gridCol w:w="283"/>
        <w:gridCol w:w="7088"/>
      </w:tblGrid>
      <w:tr>
        <w:trPr>
          <w:trHeight w:val="20"/>
        </w:trPr>
        <w:tc>
          <w:tcPr>
            <w:tcBorders/>
            <w:tcMar>
              <w:left w:w="108" w:type="dxa"/>
              <w:top w:w="0" w:type="dxa"/>
              <w:right w:w="108" w:type="dxa"/>
              <w:bottom w:w="0" w:type="dxa"/>
            </w:tcMar>
            <w:tcW w:w="2409"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Mã số thuế </w:t>
            </w: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7088"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6"/>
              </w:rPr>
              <w:t xml:space="preserve">1800278630</w:t>
            </w:r>
            <w:r/>
          </w:p>
        </w:tc>
      </w:tr>
      <w:tr>
        <w:trPr>
          <w:trHeight w:val="20"/>
        </w:trPr>
        <w:tc>
          <w:tcPr>
            <w:tcBorders/>
            <w:tcMar>
              <w:left w:w="108" w:type="dxa"/>
              <w:top w:w="0" w:type="dxa"/>
              <w:right w:w="108" w:type="dxa"/>
              <w:bottom w:w="0" w:type="dxa"/>
            </w:tcMar>
            <w:tcW w:w="2409"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Địa chỉ </w:t>
            </w: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7088"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pacing w:val="3"/>
                <w:sz w:val="26"/>
                <w:highlight w:val="white"/>
              </w:rPr>
              <w:t xml:space="preserve">Số 77, phố Trần Hưng Đạo, P. Cửa Nam, thành phố Hà Nội, Việt Nam. </w:t>
            </w:r>
            <w:r/>
          </w:p>
        </w:tc>
      </w:tr>
      <w:tr>
        <w:trPr>
          <w:trHeight w:val="20"/>
        </w:trPr>
        <w:tc>
          <w:tcPr>
            <w:tcBorders/>
            <w:tcMar>
              <w:left w:w="108" w:type="dxa"/>
              <w:top w:w="0" w:type="dxa"/>
              <w:right w:w="108" w:type="dxa"/>
              <w:bottom w:w="0" w:type="dxa"/>
            </w:tcMar>
            <w:tcW w:w="2409"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Điện thoại </w:t>
            </w: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7088"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5"/>
              </w:tabs>
              <w:spacing w:after="120" w:before="120"/>
              <w:ind w:right="0" w:firstLine="0" w:left="0"/>
              <w:rPr/>
            </w:pPr>
            <w:r>
              <w:rPr>
                <w:rFonts w:ascii="Times New Roman" w:hAnsi="Times New Roman" w:eastAsia="Times New Roman" w:cs="Times New Roman"/>
                <w:color w:val="000000"/>
                <w:sz w:val="24"/>
              </w:rPr>
              <w:t xml:space="preserve">(024) 39423388                 Fax: (024) 39410844</w:t>
            </w:r>
            <w:r/>
          </w:p>
        </w:tc>
      </w:tr>
      <w:tr>
        <w:trPr>
          <w:trHeight w:val="20"/>
        </w:trPr>
        <w:tc>
          <w:tcPr>
            <w:tcBorders/>
            <w:tcMar>
              <w:left w:w="108" w:type="dxa"/>
              <w:top w:w="0" w:type="dxa"/>
              <w:right w:w="108" w:type="dxa"/>
              <w:bottom w:w="0" w:type="dxa"/>
            </w:tcMar>
            <w:tcW w:w="2409"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Người đại diện</w:t>
            </w: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7088"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Bà: Hoàng Phan Quỳnh Trâm           Chức vụ: Giám đốc PCG Thanh Khê</w:t>
            </w:r>
            <w:r/>
          </w:p>
        </w:tc>
      </w:tr>
      <w:tr>
        <w:trPr>
          <w:trHeight w:val="20"/>
        </w:trPr>
        <w:tc>
          <w:tcPr>
            <w:tcBorders/>
            <w:tcMar>
              <w:left w:w="108" w:type="dxa"/>
              <w:top w:w="0" w:type="dxa"/>
              <w:right w:w="108" w:type="dxa"/>
              <w:bottom w:w="0" w:type="dxa"/>
            </w:tcMar>
            <w:tcW w:w="2409"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Đơn vị thực hiện</w:t>
            </w: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7088"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Chi nhánh Đà Nẵng – Phòng giao dịch Thanh Khê</w:t>
            </w:r>
            <w:r/>
          </w:p>
        </w:tc>
      </w:tr>
      <w:tr>
        <w:trPr>
          <w:trHeight w:val="20"/>
        </w:trPr>
        <w:tc>
          <w:tcPr>
            <w:tcBorders/>
            <w:tcMar>
              <w:left w:w="108" w:type="dxa"/>
              <w:top w:w="0" w:type="dxa"/>
              <w:right w:w="108" w:type="dxa"/>
              <w:bottom w:w="0" w:type="dxa"/>
            </w:tcMar>
            <w:tcW w:w="2409"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7088"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color w:val="000000"/>
                <w:sz w:val="24"/>
              </w:rPr>
              <w:t xml:space="preserve">193 Điện Biên Phủ, phường Thanh Khê, thành phố Đà Nẵng, Việt Nam. </w:t>
            </w: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Giấy chứng nhận số DK 390794, Số vào sổ cấp GCN VP00240, Số thửa 939, Tờ bản đồ 12, Địa chỉ tr</w:t>
      </w:r>
      <w:r>
        <w:rPr>
          <w:bCs/>
        </w:rPr>
        <w:t xml:space="preserve">ên sổ Thôn Đông Hoà, xã Hoà Châu, huyện Hoà Vang, thành phố Đà Nẵng, Diện tích: Đất ở nông thôn (100 m2) | Tài sản tại: Phường Hòa Châu, Huyện Hòa Vang, Thành phố Đà Nẵng.</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2.300.000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w:t>
      </w:r>
      <w:r>
        <w:rPr>
          <w:i/>
          <w:color w:val="000000" w:themeColor="text1"/>
        </w:rPr>
        <w:t xml:space="preserve">triệu </w:t>
      </w:r>
      <w:r>
        <w:rPr>
          <w:i/>
          <w:color w:val="000000" w:themeColor="text1"/>
        </w:rPr>
        <w:t xml:space="preserve">năm </w:t>
      </w:r>
      <w:r>
        <w:rPr>
          <w:i/>
          <w:color w:val="000000" w:themeColor="text1"/>
        </w:rPr>
        <w:t xml:space="preserve">trăm </w:t>
      </w:r>
      <w:r>
        <w:rPr>
          <w:i/>
          <w:color w:val="000000" w:themeColor="text1"/>
        </w:rPr>
        <w:t xml:space="preserve">ngàn </w:t>
      </w:r>
      <w:r>
        <w:rPr>
          <w:i/>
          <w:color w:val="000000" w:themeColor="text1"/>
        </w:rPr>
        <w:t xml:space="preserve">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ĐỖ HỮU CHÍ</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HSTD-20260119-0004/HĐTĐ-VFI-01</w:t>
      </w:r>
      <w:bookmarkEnd w:id="3"/>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HSTD-20260119-0004/HĐTĐ-VFI </w:t>
      </w:r>
      <w:r>
        <w:rPr>
          <w:color w:val="000000" w:themeColor="text1"/>
        </w:rPr>
        <w:t xml:space="preserve">đã ký </w:t>
      </w:r>
      <w:r>
        <w:rPr>
          <w:color w:val="000000" w:themeColor="text1"/>
        </w:rPr>
        <w:t xml:space="preserve">ngày 28 tháng 1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28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ĐỖ HỮU CHÍ</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049064020117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HSTD-20260119-0004/HĐTĐ-VFI-01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HSTD-20260119-0004/HĐTĐ-VFI </w:t>
      </w:r>
      <w:r>
        <w:rPr>
          <w:i/>
          <w:iCs/>
          <w:color w:val="000000" w:themeColor="text1"/>
        </w:rPr>
        <w:t xml:space="preserve">,</w:t>
      </w:r>
      <w:r>
        <w:rPr>
          <w:i/>
          <w:iCs/>
          <w:color w:val="000000" w:themeColor="text1"/>
        </w:rPr>
        <w:t xml:space="preserve">ngày 28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HSTD-20260119-0004/HĐTĐ-VFI đã ký ngày 28 tháng 1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jc w:val="right"/>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jc w:val="right"/>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jc w:val="right"/>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jc w:val="right"/>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jc w:val="right"/>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jc w:val="right"/>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HSTD-20260119-0004/HĐTĐ-VFI đã ký ngày 28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HSTD-20260119-0004/HĐTĐ-VFI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HSTD-20260119-0004/HĐTĐ-VFI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ĐỖ HỮU CHÍ</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86</cp:revision>
  <dcterms:created xsi:type="dcterms:W3CDTF">2025-09-08T09:51:00Z</dcterms:created>
  <dcterms:modified xsi:type="dcterms:W3CDTF">2026-01-28T10:25:18Z</dcterms:modified>
</cp:coreProperties>
</file>