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sz w:val="24"/>
                <w:szCs w:val="24"/>
              </w:rPr>
            </w:pPr>
            <w:r>
              <w:rPr>
                <w:i/>
                <w:color w:val="000000" w:themeColor="text1"/>
                <w:sz w:val="24"/>
                <w:szCs w:val="24"/>
              </w:rPr>
              <w:t xml:space="preserve">Số: </w:t>
            </w:r>
            <w:r>
              <w:rPr>
                <w:i/>
                <w:color w:val="000000" w:themeColor="text1"/>
                <w:sz w:val="24"/>
                <w:szCs w:val="24"/>
              </w:rPr>
            </w:r>
            <w:r>
              <w:rPr>
                <w:rFonts w:ascii="Times New Roman" w:hAnsi="Times New Roman" w:eastAsia="Times New Roman" w:cs="Times New Roman"/>
                <w:color w:val="000000"/>
                <w:spacing w:val="-4"/>
                <w:sz w:val="24"/>
                <w:szCs w:val="24"/>
              </w:rPr>
              <w:t xml:space="preserve">275/2026/0257/VFI-HĐTĐ.48.A</w:t>
            </w:r>
            <w:r>
              <w:rPr>
                <w:i/>
                <w:color w:val="000000" w:themeColor="text1"/>
                <w:sz w:val="24"/>
                <w:szCs w:val="24"/>
              </w:rPr>
            </w:r>
            <w:r>
              <w:rPr>
                <w:color w:val="000000" w:themeColor="text1"/>
                <w:sz w:val="24"/>
                <w:szCs w:val="24"/>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sz w:val="24"/>
                <w:szCs w:val="24"/>
              </w:rPr>
            </w:pPr>
            <w:r>
              <w:rPr>
                <w:i/>
                <w:iCs/>
                <w:color w:val="000000" w:themeColor="text1"/>
                <w:sz w:val="24"/>
                <w:szCs w:val="24"/>
              </w:rPr>
              <w:t xml:space="preserve">    </w:t>
            </w:r>
            <w:r>
              <w:rPr>
                <w:i/>
                <w:iCs/>
                <w:color w:val="000000" w:themeColor="text1"/>
                <w:sz w:val="24"/>
                <w:szCs w:val="24"/>
              </w:rPr>
              <w:t xml:space="preserve">    </w:t>
            </w:r>
            <w:r>
              <w:rPr>
                <w:i/>
                <w:iCs/>
                <w:color w:val="000000" w:themeColor="text1"/>
                <w:sz w:val="24"/>
                <w:szCs w:val="24"/>
              </w:rPr>
              <w:t xml:space="preserve">  Hà Nội, </w:t>
            </w:r>
            <w:r>
              <w:rPr>
                <w:i/>
                <w:iCs/>
                <w:color w:val="000000" w:themeColor="text1"/>
                <w:sz w:val="24"/>
                <w:szCs w:val="24"/>
              </w:rPr>
              <w:t xml:space="preserve">ngày 24 tháng 1 năm 2026</w:t>
            </w:r>
            <w:r>
              <w:rPr>
                <w:i/>
                <w:iCs/>
                <w:color w:val="000000" w:themeColor="text1"/>
                <w:sz w:val="24"/>
                <w:szCs w:val="24"/>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b/>
                <w:color w:val="000000"/>
                <w:sz w:val="24"/>
              </w:rPr>
              <w:t xml:space="preserve">CÔNG TY CỔ PHẦN MÍA ĐƯỜNG MIỀN BẮC</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Đại diện</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Ông Nguyễn Đức Toàn               Chức vụ: Giám đốc</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Mã số thuế</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pacing w:val="-8"/>
                <w:sz w:val="24"/>
              </w:rPr>
              <w:t xml:space="preserve">2500566171</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 </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Cụm KTXH Tân Tiến, Xã Lũng Hòa, H. Vĩnh Tường, T. Vĩnh Phúc</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91, tờ bản đồ số 4 có địa chỉ: Cụm KTXH Tân Tiến - thôn Bắc Cường, TT Thổ Tang, Huyện Vĩnh Tường, tỉnh Vĩnh Phúc (nay là xã Thổ Tang, tỉnh Phú Thọ) theo Giấy chứng nhận quyền sử dụng đất, quyền sở hữu nhà ở và tài sản gắn </w:t>
      </w:r>
      <w:r>
        <w:rPr>
          <w:rFonts w:ascii="Times New Roman" w:hAnsi="Times New Roman" w:eastAsia="Times New Roman" w:cs="Times New Roman"/>
          <w:color w:val="000000"/>
          <w:sz w:val="24"/>
        </w:rPr>
        <w:t xml:space="preserve">liền với đất số: BK 999895, số vào sổ cấp GCN: CH 0037/QĐ số 112 do UBND huyện Vĩnh Tường cấp ngày 06/02/2013; chủ sử dụng đất là Hộ Ông Nguyễn Văn Nhân và Bà Vũ Thị Tiền</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 (Đã bao gồm VAT 8%)</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5.500.000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năm trăm nghìn đồng)</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84</cp:revision>
  <dcterms:created xsi:type="dcterms:W3CDTF">2025-09-08T09:51:00Z</dcterms:created>
  <dcterms:modified xsi:type="dcterms:W3CDTF">2026-02-05T09:59:27Z</dcterms:modified>
</cp:coreProperties>
</file>