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Arial" w:hAnsi="Arial" w:eastAsia="Arial" w:cs="Arial"/>
                <w:color w:val="081b3a"/>
                <w:spacing w:val="3"/>
                <w:sz w:val="23"/>
                <w:highlight w:val="white"/>
              </w:rPr>
              <w:t xml:space="preserve">275/2026/0106/VFI-HĐTĐ.48.A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Phạm Thanh Ngọc</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001302014946</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Tài sản tại: Phường Nhân Chính, Quận Thanh Xuân, Thành phố Hà Nội, đường Tiếp giáp mặt đường Lê Văn Lương. Căn thường, tầng trung, độ rộng đường trước mặt tài sản 10m, mặt tiền 10m, 21.0035709, 105.8026933</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Phạm Thanh Ngọc</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HSTD-20260116-0009/HĐTĐ-VFI-01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HSTD-20260116-0009/HĐTĐ-VFI </w:t>
      </w:r>
      <w:r>
        <w:rPr>
          <w:color w:val="000000" w:themeColor="text1"/>
        </w:rPr>
        <w:t xml:space="preserve">đã ký </w:t>
      </w:r>
      <w:r>
        <w:rPr>
          <w:color w:val="000000" w:themeColor="text1"/>
        </w:rPr>
        <w:t xml:space="preserve">ngày 14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Phạm Thanh Ngọc</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001302014946</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HSTD-20260116-0009/HĐTĐ-VFI-01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HSTD-20260116-0009/HĐTĐ-VFI </w:t>
      </w:r>
      <w:r>
        <w:rPr>
          <w:i/>
          <w:iCs/>
          <w:color w:val="000000" w:themeColor="text1"/>
        </w:rPr>
        <w:t xml:space="preserve">,</w:t>
      </w:r>
      <w:r>
        <w:rPr>
          <w:i/>
          <w:iCs/>
          <w:color w:val="000000" w:themeColor="text1"/>
        </w:rPr>
        <w:t xml:space="preserve">ngày 14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HSTD-20260116-0009/HĐTĐ-VFI đã ký ngày 14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HSTD-20260116-0009/HĐTĐ-VFI đã ký ngày 14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HSTD-20260116-0009/HĐTĐ-VFI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HSTD-20260116-0009/HĐTĐ-VFI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Phạm Thanh Ngọc</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2026-01-17T03:35:41Z</dcterms:modified>
</cp:coreProperties>
</file>