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275/2026/0067/VFI-HĐTĐ.44.A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Ông Đào trọng trường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031085022781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1985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70 tổ 14C, phường thanh lương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CU 408109, Diện tích: Đất ở tại đô thị (30.1 m2) | Tài sản tại: Phường Vĩnh Tuy, Quận Hai Bà Trưng, Thành phố Hà Nội, độ rộng đường trước mặt tài sản 1.5m, mặt tiền 5.43m, Cách phố Minh Khai khoảng 250, 21.000156402588, 105.86737823486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b w:val="0"/>
                <w:bCs w:val="0"/>
                <w:color w:val="000000"/>
                <w:sz w:val="24"/>
              </w:rPr>
              <w:t xml:space="preserve">3.240.741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bCs/>
                <w:color w:val="000000"/>
                <w:sz w:val="24"/>
              </w:rPr>
              <w:t xml:space="preserve">3.500.000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Đào trọng trường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HSTD-20260116-0003/HĐTĐ-VFI-01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HSTD-20260116-0003/HĐTĐ-VFI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Đào trọng trường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031085022781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HSTD-20260116-0003/HĐTĐ-VFI-01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HSTD-20260116-0003/HĐTĐ-VFI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HSTD-20260116-0003/HĐTĐ-VFI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HSTD-20260116-0003/HĐTĐ-VFI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HSTD-20260116-0003/HĐTĐ-VFI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HSTD-20260116-0003/HĐTĐ-VFI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Đào trọng trường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2026-01-24T04:01:23Z</dcterms:modified>
</cp:coreProperties>
</file>