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rFonts w:ascii="Times New Roman" w:hAnsi="Times New Roman" w:cs="Times New Roman"/>
                <w:color w:val="000000" w:themeColor="text1"/>
              </w:rPr>
            </w:pPr>
            <w:r>
              <w:rPr>
                <w:i/>
                <w:color w:val="000000" w:themeColor="text1"/>
              </w:rPr>
              <w:t xml:space="preserve">S</w:t>
            </w:r>
            <w:r>
              <w:rPr>
                <w:rFonts w:ascii="Times New Roman" w:hAnsi="Times New Roman" w:eastAsia="Times New Roman" w:cs="Times New Roman"/>
                <w:i/>
                <w:color w:val="000000" w:themeColor="text1"/>
                <w:sz w:val="24"/>
                <w:szCs w:val="24"/>
              </w:rPr>
              <w:t xml:space="preserve">ố: </w:t>
            </w:r>
            <w:r>
              <w:rPr>
                <w:rFonts w:ascii="Times New Roman" w:hAnsi="Times New Roman" w:eastAsia="Times New Roman" w:cs="Times New Roman"/>
                <w:color w:val="081b3a"/>
                <w:spacing w:val="3"/>
                <w:sz w:val="24"/>
                <w:szCs w:val="24"/>
                <w:highlight w:val="white"/>
              </w:rPr>
              <w:t xml:space="preserve">275/2026/0119/VFI-HĐTĐ.65.A</w:t>
            </w:r>
            <w:r>
              <w:rPr>
                <w:rFonts w:ascii="Times New Roman" w:hAnsi="Times New Roman" w:eastAsia="Times New Roman" w:cs="Times New Roman"/>
                <w:i/>
                <w:color w:val="000000" w:themeColor="text1"/>
              </w:rPr>
            </w:r>
            <w:r>
              <w:rPr>
                <w:rFonts w:ascii="Times New Roman" w:hAnsi="Times New Roman" w:eastAsia="Times New Roman" w:cs="Times New Roman"/>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13 tháng 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719C7A9">
            <w:pPr>
              <w:pBdr/>
              <w:spacing w:after="40" w:before="40" w:line="276" w:lineRule="auto"/>
              <w:ind/>
              <w:jc w:val="both"/>
              <w:rPr>
                <w:b/>
                <w:bCs/>
                <w:color w:val="000000" w:themeColor="text1"/>
                <w:u w:val="single"/>
              </w:rPr>
            </w:pPr>
            <w:r>
              <w:rPr>
                <w:b/>
                <w:bCs/>
                <w:color w:val="000000" w:themeColor="text1"/>
                <w:u w:val="single"/>
                <w:lang w:val="pt-BR"/>
              </w:rPr>
              <w:t xml:space="preserve">BÊN A</w:t>
            </w:r>
            <w:r>
              <w:rPr>
                <w:b/>
                <w:bCs/>
                <w:color w:val="000000" w:themeColor="text1"/>
                <w:u w:val="single"/>
                <w:lang w:val="pt-BR"/>
              </w:rPr>
            </w:r>
          </w:p>
        </w:tc>
        <w:tc>
          <w:tcPr>
            <w:tcBorders/>
            <w:tcW w:w="270" w:type="dxa"/>
            <w:vAlign w:val="center"/>
            <w:textDirection w:val="lrTb"/>
            <w:noWrap w:val="false"/>
          </w:tcPr>
          <w:p w14:paraId="47699093">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1D65D88">
            <w:pPr>
              <w:pBdr/>
              <w:spacing/>
              <w:ind/>
              <w:rPr/>
            </w:pPr>
            <w:r>
              <w:rPr>
                <w:b/>
                <w:bCs/>
              </w:rPr>
            </w:r>
            <w:r>
              <w:rPr>
                <w:rFonts w:ascii="Times New Roman Bold" w:hAnsi="Times New Roman Bold"/>
                <w:b/>
                <w:color w:val="000000" w:themeColor="text1"/>
                <w:lang w:val="pt-BR"/>
              </w:rPr>
              <w:t xml:space="preserve">NGÂN HÀNG NÔNG NGHIỆP VÀ PHÁT TRIỂN NÔNG THÔN VIỆT NAM-CHI NHÁNH HÀ TÂY I</w:t>
            </w:r>
            <w:r>
              <w:rPr>
                <w:rFonts w:ascii="Times New Roman Bold" w:hAnsi="Times New Roman Bold"/>
                <w:b/>
                <w:color w:val="000000" w:themeColor="text1"/>
                <w:lang w:val="pt-BR"/>
              </w:rPr>
              <w:t xml:space="preserve"> </w:t>
            </w:r>
            <w:r/>
            <w:r/>
          </w:p>
        </w:tc>
      </w:tr>
      <w:tr>
        <w:trPr>
          <w:cantSplit/>
          <w:trHeight w:val="20"/>
        </w:trPr>
        <w:tc>
          <w:tcPr>
            <w:tcBorders/>
            <w:tcW w:w="1505" w:type="dxa"/>
            <w:vAlign w:val="center"/>
            <w:textDirection w:val="lrTb"/>
            <w:noWrap w:val="false"/>
          </w:tcPr>
          <w:p w14:paraId="719F50D8">
            <w:pPr>
              <w:pBdr/>
              <w:tabs>
                <w:tab w:val="center" w:leader="none" w:pos="948"/>
              </w:tabs>
              <w:spacing w:after="40" w:before="40" w:line="276" w:lineRule="auto"/>
              <w:ind/>
              <w:jc w:val="both"/>
              <w:rPr>
                <w:bCs/>
                <w:color w:val="000000" w:themeColor="text1"/>
                <w:lang w:val="pt-BR"/>
              </w:rPr>
            </w:pPr>
            <w:r>
              <w:rPr>
                <w:bCs/>
                <w:color w:val="000000" w:themeColor="text1"/>
                <w:lang w:val="pt-BR"/>
              </w:rPr>
              <w:t xml:space="preserve">Địa chỉ trụ sở</w:t>
              <w:tab/>
            </w:r>
            <w:r>
              <w:rPr>
                <w:bCs/>
                <w:color w:val="000000" w:themeColor="text1"/>
                <w:lang w:val="pt-BR"/>
              </w:rPr>
            </w:r>
            <w:r>
              <w:rPr>
                <w:bCs/>
                <w:color w:val="000000" w:themeColor="text1"/>
                <w:lang w:val="pt-BR"/>
              </w:rPr>
            </w:r>
          </w:p>
        </w:tc>
        <w:tc>
          <w:tcPr>
            <w:tcBorders/>
            <w:tcW w:w="270" w:type="dxa"/>
            <w:vAlign w:val="center"/>
            <w:textDirection w:val="lrTb"/>
            <w:noWrap w:val="false"/>
          </w:tcPr>
          <w:p w14:paraId="36BCB7F1">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D9A703C">
            <w:pPr>
              <w:pBdr/>
              <w:spacing w:after="40" w:before="40" w:line="276" w:lineRule="auto"/>
              <w:ind/>
              <w:jc w:val="both"/>
              <w:rPr>
                <w:color w:val="ff0000"/>
                <w:lang w:val="pt-BR"/>
              </w:rPr>
            </w:pPr>
            <w:r>
              <w:rPr>
                <w:color w:val="000000" w:themeColor="text1"/>
                <w:lang w:val="vi-VN"/>
              </w:rPr>
              <w:t xml:space="preserve">Số 02 phố Vũ Trọng Khánh, tổ dân phố số 5, phường Hà Đông, thành phố Hà Nội</w:t>
            </w:r>
            <w:r>
              <w:rPr>
                <w:color w:val="ff0000"/>
                <w:lang w:val="pt-BR"/>
              </w:rPr>
            </w:r>
            <w:r>
              <w:rPr>
                <w:color w:val="ff0000"/>
                <w:lang w:val="pt-BR"/>
              </w:rPr>
            </w:r>
          </w:p>
        </w:tc>
      </w:tr>
      <w:tr>
        <w:trPr>
          <w:trHeight w:val="20"/>
        </w:trPr>
        <w:tc>
          <w:tcPr>
            <w:tcBorders/>
            <w:tcW w:w="1505" w:type="dxa"/>
            <w:vAlign w:val="center"/>
            <w:vMerge w:val="restart"/>
            <w:textDirection w:val="lrTb"/>
            <w:noWrap w:val="false"/>
          </w:tcPr>
          <w:p w14:paraId="1FB89AE3">
            <w:pPr>
              <w:pBdr/>
              <w:spacing w:after="40" w:before="40" w:line="276" w:lineRule="auto"/>
              <w:ind/>
              <w:jc w:val="both"/>
              <w:rPr>
                <w:bCs/>
                <w:color w:val="000000" w:themeColor="text1"/>
                <w:lang w:val="pt-BR"/>
              </w:rPr>
            </w:pPr>
            <w:r>
              <w:rPr>
                <w:bCs/>
                <w:color w:val="000000" w:themeColor="text1"/>
                <w:lang w:val="pt-BR"/>
              </w:rPr>
              <w:t xml:space="preserve">MST</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14:paraId="03AEE5F3">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14:paraId="60BC9180">
            <w:pPr>
              <w:pBdr/>
              <w:spacing w:after="40" w:before="40" w:line="276" w:lineRule="auto"/>
              <w:ind/>
              <w:jc w:val="both"/>
              <w:rPr>
                <w:color w:val="000000" w:themeColor="text1"/>
              </w:rPr>
            </w:pPr>
            <w:r>
              <w:rPr>
                <w:color w:val="000000" w:themeColor="text1"/>
                <w:lang w:val="pt-BR"/>
              </w:rPr>
              <w:t xml:space="preserve">0100686174-089</w:t>
            </w:r>
            <w:r>
              <w:rPr>
                <w:color w:val="000000" w:themeColor="text1"/>
              </w:rPr>
            </w:r>
            <w:r>
              <w:rPr>
                <w:color w:val="000000" w:themeColor="text1"/>
              </w:rPr>
            </w:r>
          </w:p>
        </w:tc>
      </w:tr>
      <w:tr>
        <w:trPr>
          <w:trHeight w:val="20"/>
        </w:trPr>
        <w:tc>
          <w:tcPr>
            <w:tcBorders/>
            <w:tcW w:w="1505" w:type="dxa"/>
            <w:vAlign w:val="center"/>
            <w:vMerge w:val="restart"/>
            <w:textDirection w:val="lrTb"/>
            <w:noWrap w:val="false"/>
          </w:tcPr>
          <w:p w14:paraId="6D5B9C0A">
            <w:pPr>
              <w:pBdr/>
              <w:spacing w:after="40" w:before="40" w:line="276" w:lineRule="auto"/>
              <w:ind/>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14:paraId="3EAF0F5F">
            <w:pPr>
              <w:pBdr/>
              <w:spacing w:after="40" w:before="40" w:line="276" w:lineRule="auto"/>
              <w:ind/>
              <w:jc w:val="center"/>
              <w:rPr>
                <w:bCs/>
                <w:color w:val="000000"/>
                <w:lang w:val="pt-BR"/>
              </w:rPr>
            </w:pPr>
            <w:r>
              <w:rPr>
                <w:bCs/>
                <w:color w:val="000000"/>
                <w:lang w:val="pt-BR"/>
              </w:rPr>
            </w:r>
            <w:r>
              <w:rPr>
                <w:bCs/>
                <w:color w:val="000000"/>
                <w:lang w:val="pt-BR"/>
              </w:rPr>
            </w:r>
            <w:r>
              <w:rPr>
                <w:bCs/>
                <w:color w:val="000000"/>
                <w:lang w:val="pt-BR"/>
              </w:rPr>
            </w:r>
          </w:p>
        </w:tc>
        <w:tc>
          <w:tcPr>
            <w:tcBorders/>
            <w:tcW w:w="7951" w:type="dxa"/>
            <w:vAlign w:val="center"/>
            <w:vMerge w:val="restart"/>
            <w:textDirection w:val="lrTb"/>
            <w:noWrap w:val="false"/>
          </w:tcPr>
          <w:p w14:paraId="2DCE06EB">
            <w:pPr>
              <w:pBdr/>
              <w:spacing w:after="40" w:before="40" w:line="276" w:lineRule="auto"/>
              <w:ind/>
              <w:jc w:val="both"/>
              <w:rPr>
                <w:b/>
                <w:bCs/>
                <w:color w:val="000000" w:themeColor="text1"/>
              </w:rPr>
            </w:pPr>
            <w:r>
              <w:rPr>
                <w:b/>
                <w:bCs/>
                <w:color w:val="000000" w:themeColor="text1"/>
                <w:lang w:val="vi-VN"/>
              </w:rPr>
              <w:t xml:space="preserve">Ông Lương Viết Xuân</w:t>
            </w:r>
            <w:r>
              <w:rPr>
                <w:b/>
                <w:bCs/>
                <w:color w:val="000000" w:themeColor="text1"/>
              </w:rPr>
            </w:r>
            <w:r>
              <w:rPr>
                <w:b/>
                <w:bCs/>
                <w:color w:val="000000" w:themeColor="text1"/>
              </w:rPr>
            </w:r>
          </w:p>
        </w:tc>
      </w:tr>
      <w:tr>
        <w:trPr>
          <w:trHeight w:val="20"/>
        </w:trPr>
        <w:tc>
          <w:tcPr>
            <w:tcBorders/>
            <w:tcW w:w="1505" w:type="dxa"/>
            <w:vAlign w:val="center"/>
            <w:vMerge w:val="restart"/>
            <w:textDirection w:val="lrTb"/>
            <w:noWrap w:val="false"/>
          </w:tcPr>
          <w:p w14:paraId="247F4985">
            <w:pPr>
              <w:pBdr/>
              <w:spacing w:after="40" w:before="40" w:line="276" w:lineRule="auto"/>
              <w:ind/>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14:paraId="15AAF4FB">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14:paraId="212DFA5E">
            <w:pPr>
              <w:pBdr/>
              <w:spacing w:after="40" w:before="40" w:line="276" w:lineRule="auto"/>
              <w:ind/>
              <w:jc w:val="both"/>
              <w:rPr>
                <w:b/>
                <w:bCs/>
                <w:color w:val="ff0000"/>
              </w:rPr>
            </w:pPr>
            <w:r>
              <w:rPr>
                <w:b/>
                <w:bCs/>
                <w:color w:val="000000" w:themeColor="text1"/>
                <w:lang w:val="vi-VN"/>
              </w:rPr>
              <w:t xml:space="preserve">Phó giám đốc</w:t>
            </w:r>
            <w:r>
              <w:rPr>
                <w:b/>
                <w:bCs/>
                <w:color w:val="ff0000"/>
              </w:rPr>
            </w:r>
            <w:r>
              <w:rPr>
                <w:b/>
                <w:bCs/>
                <w:color w:val="ff0000"/>
              </w:rPr>
            </w:r>
          </w:p>
        </w:tc>
      </w:tr>
      <w:tr>
        <w:trPr>
          <w:trHeight w:val="20"/>
        </w:trPr>
        <w:tc>
          <w:tcPr>
            <w:tcBorders/>
            <w:tcW w:w="1505" w:type="dxa"/>
            <w:vAlign w:val="center"/>
            <w:vMerge w:val="restart"/>
            <w:textDirection w:val="lrTb"/>
            <w:noWrap w:val="false"/>
          </w:tcPr>
          <w:p w14:paraId="05509E8B">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14:paraId="2F0BA91C">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14:paraId="595AC660">
            <w:pPr>
              <w:pBdr/>
              <w:spacing w:after="40" w:before="40" w:line="288" w:lineRule="auto"/>
              <w:ind/>
              <w:contextualSpacing w:val="true"/>
              <w:rPr>
                <w:b/>
                <w:color w:val="000000" w:themeColor="text1"/>
              </w:rPr>
            </w:pPr>
            <w:r>
              <w:rPr>
                <w:b/>
                <w:color w:val="000000" w:themeColor="text1"/>
              </w:rPr>
            </w:r>
            <w:r>
              <w:rPr>
                <w:b/>
                <w:color w:val="000000" w:themeColor="text1"/>
              </w:rPr>
            </w:r>
          </w:p>
        </w:tc>
      </w:tr>
      <w:tr>
        <w:trPr>
          <w:trHeight w:val="20"/>
        </w:trPr>
        <w:tc>
          <w:tcPr>
            <w:tcBorders/>
            <w:tcW w:w="1505" w:type="dxa"/>
            <w:vAlign w:val="center"/>
            <w:vMerge w:val="restart"/>
            <w:textDirection w:val="lrTb"/>
            <w:noWrap w:val="false"/>
          </w:tcPr>
          <w:p w14:paraId="6ED45584">
            <w:pPr>
              <w:pBdr/>
              <w:spacing w:after="40" w:before="40" w:line="288" w:lineRule="auto"/>
              <w:ind/>
              <w:contextualSpacing w:val="true"/>
              <w:jc w:val="both"/>
              <w:rPr>
                <w:b/>
                <w:bCs/>
                <w:color w:val="000000" w:themeColor="text1"/>
                <w:u w:val="single"/>
              </w:rPr>
            </w:pPr>
            <w:r>
              <w:rPr>
                <w:b/>
                <w:bCs/>
                <w:color w:val="000000" w:themeColor="text1"/>
                <w:u w:val="single"/>
                <w:lang w:val="pt-BR"/>
              </w:rPr>
              <w:t xml:space="preserve">Bên B</w:t>
            </w:r>
            <w:r>
              <w:rPr>
                <w:b/>
                <w:bCs/>
                <w:color w:val="000000" w:themeColor="text1"/>
                <w:u w:val="single"/>
                <w:lang w:val="pt-BR"/>
              </w:rPr>
            </w:r>
          </w:p>
        </w:tc>
        <w:tc>
          <w:tcPr>
            <w:tcBorders/>
            <w:tcW w:w="270" w:type="dxa"/>
            <w:vAlign w:val="center"/>
            <w:vMerge w:val="restart"/>
            <w:textDirection w:val="lrTb"/>
            <w:noWrap w:val="false"/>
          </w:tcPr>
          <w:p w14:paraId="0A668374">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vMerge w:val="restart"/>
            <w:textDirection w:val="lrTb"/>
            <w:noWrap w:val="false"/>
          </w:tcPr>
          <w:p w14:paraId="0FB0EE67">
            <w:pPr>
              <w:pBdr/>
              <w:spacing w:after="40" w:before="40" w:line="288" w:lineRule="auto"/>
              <w:ind/>
              <w:contextualSpacing w:val="true"/>
              <w:rPr>
                <w:b/>
                <w:color w:val="000000" w:themeColor="text1"/>
              </w:rPr>
            </w:pPr>
            <w:r>
              <w:rPr>
                <w:b/>
                <w:color w:val="000000" w:themeColor="text1"/>
              </w:rPr>
              <w:t xml:space="preserve">CÔNG TY TNHH VẬT TƯ VÀ KẾT CẤU THÉP</w:t>
            </w:r>
            <w:r>
              <w:rPr>
                <w:b/>
                <w:color w:val="000000" w:themeColor="text1"/>
              </w:rPr>
            </w:r>
          </w:p>
        </w:tc>
      </w:tr>
      <w:tr>
        <w:trPr>
          <w:trHeight w:val="20"/>
        </w:trPr>
        <w:tc>
          <w:tcPr>
            <w:tcBorders/>
            <w:tcW w:w="1505" w:type="dxa"/>
            <w:vAlign w:val="center"/>
            <w:vMerge w:val="restart"/>
            <w:textDirection w:val="lrTb"/>
            <w:noWrap w:val="false"/>
          </w:tcPr>
          <w:p w14:paraId="7231131A">
            <w:pPr>
              <w:pBdr/>
              <w:spacing w:after="40" w:before="40" w:line="288" w:lineRule="auto"/>
              <w:ind/>
              <w:contextualSpacing w:val="true"/>
              <w:jc w:val="both"/>
              <w:rPr>
                <w:bCs/>
                <w:color w:val="000000" w:themeColor="text1"/>
                <w:lang w:val="pt-BR"/>
              </w:rPr>
            </w:pPr>
            <w:r>
              <w:rPr>
                <w:bCs/>
                <w:color w:val="000000" w:themeColor="text1"/>
                <w:lang w:val="pt-BR"/>
              </w:rPr>
              <w:t xml:space="preserve">Địa chỉ</w:t>
            </w:r>
            <w:r>
              <w:rPr>
                <w:bCs/>
                <w:color w:val="000000" w:themeColor="text1"/>
                <w:lang w:val="pt-BR"/>
              </w:rPr>
            </w:r>
          </w:p>
        </w:tc>
        <w:tc>
          <w:tcPr>
            <w:tcBorders/>
            <w:tcW w:w="270" w:type="dxa"/>
            <w:vAlign w:val="center"/>
            <w:vMerge w:val="restart"/>
            <w:textDirection w:val="lrTb"/>
            <w:noWrap w:val="false"/>
          </w:tcPr>
          <w:p w14:paraId="5E2FE016">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vMerge w:val="restart"/>
            <w:textDirection w:val="lrTb"/>
            <w:noWrap w:val="false"/>
          </w:tcPr>
          <w:p w14:paraId="642BDA10">
            <w:pPr>
              <w:pBdr/>
              <w:spacing w:after="40" w:before="40" w:line="288" w:lineRule="auto"/>
              <w:ind/>
              <w:contextualSpacing w:val="true"/>
              <w:rPr>
                <w:b w:val="0"/>
                <w:bCs w:val="0"/>
                <w:color w:val="000000" w:themeColor="text1"/>
              </w:rPr>
            </w:pPr>
            <w:r>
              <w:rPr>
                <w:b w:val="0"/>
                <w:bCs w:val="0"/>
                <w:color w:val="000000" w:themeColor="text1"/>
              </w:rPr>
              <w:t xml:space="preserve">Số 124, phố Trần Phú, phường Hà Đông, thành phố Hà Nội, Việt Nam</w:t>
            </w:r>
            <w:r>
              <w:rPr>
                <w:b w:val="0"/>
                <w:bCs w:val="0"/>
                <w:color w:val="000000" w:themeColor="text1"/>
              </w:rPr>
            </w:r>
          </w:p>
        </w:tc>
      </w:tr>
      <w:tr>
        <w:trPr>
          <w:trHeight w:val="20"/>
        </w:trPr>
        <w:tc>
          <w:tcPr>
            <w:tcBorders/>
            <w:tcW w:w="1505" w:type="dxa"/>
            <w:vAlign w:val="center"/>
            <w:vMerge w:val="restart"/>
            <w:textDirection w:val="lrTb"/>
            <w:noWrap w:val="false"/>
          </w:tcPr>
          <w:p w14:paraId="36D49C63">
            <w:pPr>
              <w:pBdr/>
              <w:spacing w:after="40" w:before="40" w:line="288" w:lineRule="auto"/>
              <w:ind/>
              <w:contextualSpacing w:val="true"/>
              <w:jc w:val="both"/>
              <w:rPr>
                <w:bCs/>
                <w:color w:val="000000" w:themeColor="text1"/>
                <w:lang w:val="pt-BR"/>
              </w:rPr>
            </w:pPr>
            <w:r>
              <w:rPr>
                <w:bCs/>
                <w:color w:val="000000" w:themeColor="text1"/>
                <w:lang w:val="pt-BR"/>
              </w:rPr>
              <w:t xml:space="preserve">MST</w:t>
            </w:r>
            <w:r>
              <w:rPr>
                <w:bCs/>
                <w:color w:val="000000" w:themeColor="text1"/>
                <w:lang w:val="pt-BR"/>
              </w:rPr>
            </w:r>
          </w:p>
        </w:tc>
        <w:tc>
          <w:tcPr>
            <w:tcBorders/>
            <w:tcW w:w="270" w:type="dxa"/>
            <w:vAlign w:val="center"/>
            <w:vMerge w:val="restart"/>
            <w:textDirection w:val="lrTb"/>
            <w:noWrap w:val="false"/>
          </w:tcPr>
          <w:p w14:paraId="241FA44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vMerge w:val="restart"/>
            <w:textDirection w:val="lrTb"/>
            <w:noWrap w:val="false"/>
          </w:tcPr>
          <w:p w14:paraId="64E825F1">
            <w:pPr>
              <w:pBdr/>
              <w:spacing w:after="40" w:before="40" w:line="288" w:lineRule="auto"/>
              <w:ind/>
              <w:contextualSpacing w:val="true"/>
              <w:rPr>
                <w:b w:val="0"/>
                <w:bCs w:val="0"/>
                <w:color w:val="000000" w:themeColor="text1"/>
              </w:rPr>
            </w:pPr>
            <w:r>
              <w:rPr>
                <w:b w:val="0"/>
                <w:bCs w:val="0"/>
                <w:color w:val="000000" w:themeColor="text1"/>
              </w:rPr>
              <w:t xml:space="preserve">0500443289</w:t>
            </w:r>
            <w:r>
              <w:rPr>
                <w:b w:val="0"/>
                <w:bCs w:val="0"/>
                <w:color w:val="000000" w:themeColor="text1"/>
              </w:rPr>
            </w:r>
          </w:p>
        </w:tc>
      </w:tr>
      <w:tr>
        <w:trPr>
          <w:trHeight w:val="20"/>
        </w:trPr>
        <w:tc>
          <w:tcPr>
            <w:tcBorders/>
            <w:tcW w:w="1505" w:type="dxa"/>
            <w:vAlign w:val="center"/>
            <w:vMerge w:val="restart"/>
            <w:textDirection w:val="lrTb"/>
            <w:noWrap w:val="false"/>
          </w:tcPr>
          <w:p w14:paraId="04367249">
            <w:pPr>
              <w:pBdr/>
              <w:spacing w:after="40" w:before="40" w:line="288" w:lineRule="auto"/>
              <w:ind/>
              <w:contextualSpacing w:val="true"/>
              <w:jc w:val="both"/>
              <w:rPr>
                <w:bCs/>
                <w:color w:val="000000" w:themeColor="text1"/>
                <w:lang w:val="pt-BR"/>
              </w:rPr>
            </w:pPr>
            <w:r>
              <w:rPr>
                <w:bCs/>
                <w:color w:val="000000" w:themeColor="text1"/>
                <w:lang w:val="pt-BR"/>
              </w:rPr>
              <w:t xml:space="preserve">Thư điện tử</w:t>
            </w:r>
            <w:r>
              <w:rPr>
                <w:bCs/>
                <w:color w:val="000000" w:themeColor="text1"/>
                <w:lang w:val="pt-BR"/>
              </w:rPr>
            </w:r>
          </w:p>
        </w:tc>
        <w:tc>
          <w:tcPr>
            <w:tcBorders/>
            <w:tcW w:w="270" w:type="dxa"/>
            <w:vAlign w:val="center"/>
            <w:vMerge w:val="restart"/>
            <w:textDirection w:val="lrTb"/>
            <w:noWrap w:val="false"/>
          </w:tcPr>
          <w:p w14:paraId="6A007E7D">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vMerge w:val="restart"/>
            <w:textDirection w:val="lrTb"/>
            <w:noWrap w:val="false"/>
          </w:tcPr>
          <w:p w14:paraId="59D5EFB7">
            <w:pPr>
              <w:pBdr/>
              <w:spacing w:after="40" w:before="40" w:line="288" w:lineRule="auto"/>
              <w:ind/>
              <w:contextualSpacing w:val="true"/>
              <w:rPr>
                <w:b w:val="0"/>
                <w:bCs w:val="0"/>
                <w:color w:val="000000" w:themeColor="text1"/>
              </w:rPr>
            </w:pPr>
            <w:r>
              <w:rPr>
                <w:b w:val="0"/>
                <w:bCs w:val="0"/>
                <w:color w:val="000000" w:themeColor="text1"/>
              </w:rPr>
              <w:t xml:space="preserve">Vattuvaketcauthep@yahoo.com.vn</w:t>
            </w:r>
            <w:r>
              <w:rPr>
                <w:b w:val="0"/>
                <w:bCs w:val="0"/>
                <w:color w:val="000000" w:themeColor="text1"/>
              </w:rPr>
            </w:r>
          </w:p>
        </w:tc>
      </w:tr>
      <w:tr>
        <w:trPr>
          <w:trHeight w:val="20"/>
        </w:trPr>
        <w:tc>
          <w:tcPr>
            <w:tcBorders/>
            <w:tcW w:w="1505" w:type="dxa"/>
            <w:vAlign w:val="center"/>
            <w:vMerge w:val="restart"/>
            <w:textDirection w:val="lrTb"/>
            <w:noWrap w:val="false"/>
          </w:tcPr>
          <w:p w14:paraId="09247DF7">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vMerge w:val="restart"/>
            <w:textDirection w:val="lrTb"/>
            <w:noWrap w:val="false"/>
          </w:tcPr>
          <w:p w14:paraId="379ECD7C">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vMerge w:val="restart"/>
            <w:textDirection w:val="lrTb"/>
            <w:noWrap w:val="false"/>
          </w:tcPr>
          <w:p w14:paraId="3EAE2720">
            <w:pPr>
              <w:pBdr/>
              <w:spacing w:after="40" w:before="40" w:line="288" w:lineRule="auto"/>
              <w:ind/>
              <w:contextualSpacing w:val="true"/>
              <w:rPr>
                <w:b/>
                <w:bCs/>
                <w:color w:val="000000" w:themeColor="text1"/>
              </w:rPr>
            </w:pPr>
            <w:r>
              <w:rPr>
                <w:b/>
                <w:bCs/>
                <w:color w:val="000000" w:themeColor="text1"/>
              </w:rPr>
              <w:t xml:space="preserve">Ông Nguyễn Trọng Hoa</w:t>
            </w:r>
            <w:r>
              <w:rPr>
                <w:b/>
                <w:bCs/>
                <w:color w:val="000000" w:themeColor="text1"/>
              </w:rPr>
            </w:r>
          </w:p>
        </w:tc>
      </w:tr>
      <w:tr>
        <w:trPr>
          <w:trHeight w:val="20"/>
        </w:trPr>
        <w:tc>
          <w:tcPr>
            <w:tcBorders/>
            <w:tcW w:w="1505" w:type="dxa"/>
            <w:vAlign w:val="center"/>
            <w:vMerge w:val="restart"/>
            <w:textDirection w:val="lrTb"/>
            <w:noWrap w:val="false"/>
          </w:tcPr>
          <w:p w14:paraId="76A630CB">
            <w:pPr>
              <w:pBdr/>
              <w:spacing w:after="40" w:before="40" w:line="288" w:lineRule="auto"/>
              <w:ind/>
              <w:contextualSpacing w:val="true"/>
              <w:jc w:val="both"/>
              <w:rPr>
                <w:bCs/>
                <w:color w:val="000000" w:themeColor="text1"/>
                <w:lang w:val="pt-BR"/>
              </w:rPr>
            </w:pPr>
            <w:r>
              <w:rPr>
                <w:bCs/>
                <w:color w:val="000000" w:themeColor="text1"/>
                <w:lang w:val="pt-BR"/>
              </w:rPr>
              <w:t xml:space="preserve">Chức danh</w:t>
            </w:r>
            <w:r>
              <w:rPr>
                <w:bCs/>
                <w:color w:val="000000" w:themeColor="text1"/>
                <w:lang w:val="pt-BR"/>
              </w:rPr>
            </w:r>
          </w:p>
        </w:tc>
        <w:tc>
          <w:tcPr>
            <w:tcBorders/>
            <w:tcW w:w="270" w:type="dxa"/>
            <w:vAlign w:val="center"/>
            <w:vMerge w:val="restart"/>
            <w:textDirection w:val="lrTb"/>
            <w:noWrap w:val="false"/>
          </w:tcPr>
          <w:p w14:paraId="1008BD3C">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vMerge w:val="restart"/>
            <w:textDirection w:val="lrTb"/>
            <w:noWrap w:val="false"/>
          </w:tcPr>
          <w:p w14:paraId="7CC81A39">
            <w:pPr>
              <w:pBdr/>
              <w:spacing w:after="40" w:before="40" w:line="288" w:lineRule="auto"/>
              <w:ind/>
              <w:contextualSpacing w:val="true"/>
              <w:rPr>
                <w:b/>
                <w:bCs/>
                <w:color w:val="000000" w:themeColor="text1"/>
              </w:rPr>
            </w:pPr>
            <w:r>
              <w:rPr>
                <w:b/>
                <w:bCs/>
                <w:color w:val="000000" w:themeColor="text1"/>
              </w:rPr>
              <w:t xml:space="preserve">Giám đốc</w:t>
            </w:r>
            <w:r>
              <w:rPr>
                <w:b/>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C</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C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C sẽ thu của Bên A, theo Biểu phí thẩm định giá Bên C dành cho Bên A hoặc theo thỏa thuận giữa Bên A và Bên C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C dưới dạng văn bản, lời nói, fax, hay dữ liệu điện tử và/hoặc các thông tin có liên quan tới tất cả các giao dịch giữa Bên A và Khách hàng của Bên A với Bên C mà Bên C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211, tờ bản đồ số 19 có địa chỉ: Thôn Cao Lãm, xã Cao Thành, huyện Ứng Hòa, thành phố Hà Nội (nay là xã Vân Đình, thành phố Hà Nội)  theo Giấy chứng nhận quyền sử dụng đất quyền sở hữu nhà ở và tài sản khác gắn liền với đ</w:t>
      </w:r>
      <w:r>
        <w:rPr>
          <w:rFonts w:ascii="Times New Roman" w:hAnsi="Times New Roman" w:eastAsia="Times New Roman" w:cs="Times New Roman"/>
          <w:color w:val="000000"/>
          <w:sz w:val="24"/>
        </w:rPr>
        <w:t xml:space="preserve">ất  số: CO 777653, số vào sổ cấp GCN: CH01908 do Ủy ban nhân dân huyện Ứng Hòa cấp ngày 26/12/2018; Chủ sử dụng đất là Ông Nguyễn Trọng Tiến</w:t>
      </w:r>
      <w:r/>
      <w:r>
        <w:rPr>
          <w:bCs/>
        </w:rPr>
        <w:t xml:space="preserve">.</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C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C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C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3.240.741</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259.259</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C</w:t>
      </w:r>
      <w:r>
        <w:rPr>
          <w:color w:val="000000" w:themeColor="text1"/>
          <w:spacing w:val="-4"/>
        </w:rPr>
        <w:t xml:space="preserve"> sau khi Bên C phát hành Chứng thư thẩm định và hóa đơn tài chính hợp lệ, trong mọi trường hợp phí dịch vụ phải được thanh toán chậm nhất là không quá 05 (năm) ngày làm việc sau khi Bên C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C gửi tới Bên A theo mẫu</w:t>
      </w:r>
      <w:r>
        <w:rPr>
          <w:color w:val="000000" w:themeColor="text1"/>
          <w:spacing w:val="-4"/>
        </w:rPr>
        <w:t xml:space="preserve"> đề nghị tạm ứng</w:t>
      </w:r>
      <w:r>
        <w:rPr>
          <w:color w:val="000000" w:themeColor="text1"/>
          <w:spacing w:val="-4"/>
        </w:rPr>
        <w:t xml:space="preserve"> của Bên C;</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C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C có yêu cầu mà bên A vì bất kỳ lý do nào khác mà không thực hiện ký xác nhận </w:t>
      </w:r>
      <w:r>
        <w:rPr>
          <w:color w:val="000000" w:themeColor="text1"/>
        </w:rPr>
        <w:t xml:space="preserve">BBKSTS</w:t>
      </w:r>
      <w:r>
        <w:rPr>
          <w:color w:val="000000" w:themeColor="text1"/>
        </w:rPr>
        <w:t xml:space="preserve"> của Bên C </w:t>
      </w:r>
      <w:r>
        <w:rPr>
          <w:color w:val="000000" w:themeColor="text1"/>
        </w:rPr>
        <w:t xml:space="preserve">sau khi </w:t>
      </w:r>
      <w:r>
        <w:rPr>
          <w:color w:val="000000" w:themeColor="text1"/>
        </w:rPr>
        <w:t xml:space="preserve">CT, BCTĐG</w:t>
      </w:r>
      <w:r>
        <w:rPr>
          <w:color w:val="000000" w:themeColor="text1"/>
        </w:rPr>
        <w:t xml:space="preserve"> đã được ban hành bởi Bên C </w:t>
      </w:r>
      <w:r>
        <w:rPr>
          <w:color w:val="000000" w:themeColor="text1"/>
        </w:rPr>
        <w:t xml:space="preserve">thì </w:t>
      </w:r>
      <w:r>
        <w:rPr>
          <w:color w:val="000000" w:themeColor="text1"/>
        </w:rPr>
        <w:t xml:space="preserve">BBKSTS</w:t>
      </w:r>
      <w:r>
        <w:rPr>
          <w:color w:val="000000" w:themeColor="text1"/>
        </w:rPr>
        <w:t xml:space="preserve"> này được coi là đã được thống nhất và xác nhận giữa Bên A và Bên C, mọi thông tin được trình bày trên biên </w:t>
      </w:r>
      <w:r>
        <w:rPr>
          <w:color w:val="000000" w:themeColor="text1"/>
        </w:rPr>
        <w:t xml:space="preserve">BBKSTS</w:t>
      </w:r>
      <w:r>
        <w:rPr>
          <w:color w:val="000000" w:themeColor="text1"/>
        </w:rPr>
        <w:t xml:space="preserve"> của Bên C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C. Trường h</w:t>
      </w:r>
      <w:r>
        <w:rPr>
          <w:color w:val="000000" w:themeColor="text1"/>
        </w:rPr>
        <w:t xml:space="preserve">ợp nếu Bên A không thực hiện chủ động thông báo lại những thay đổi này cho Bên C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C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C hoặc cá nhân không phải do bên C chỉ định thu hộ (nếu có) mà có chi phối đến tính độc lập, khách quan của các thành viên có liên quan của Bê</w:t>
      </w:r>
      <w:r>
        <w:rPr>
          <w:color w:val="000000" w:themeColor="text1"/>
        </w:rPr>
        <w:t xml:space="preserve">n C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C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C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C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C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C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C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C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C</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C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C.</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C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C có quyền không hoàn lại bất kỳ khoản phí nào cho Bên A và các bên liên quan nếu CT, BCTĐG thuộc các trường hợp Bên C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C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A thanh toán phí thẩm định cho bên C </w:t>
      </w:r>
      <w:r>
        <w:rPr>
          <w:color w:val="000000" w:themeColor="text1"/>
        </w:rPr>
        <w:t xml:space="preserve">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Nguyễn Trọng Tiến</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HSTD-20260115-0009/HĐTĐ-VFI-01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HSTD-20260115-0009/HĐTĐ-VFI </w:t>
      </w:r>
      <w:r>
        <w:rPr>
          <w:color w:val="000000" w:themeColor="text1"/>
        </w:rPr>
        <w:t xml:space="preserve">đã ký </w:t>
      </w:r>
      <w:r>
        <w:rPr>
          <w:color w:val="000000" w:themeColor="text1"/>
        </w:rPr>
        <w:t xml:space="preserve">ngày 16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16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Trọng Tiến</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001063003758</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Thôn Cao Lãm, xã Cao Thành, huyện Ứng Hòa, thành phố Hà Nội (nay là xã Vân Đình, thành phố Hà Nội)</w:t>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HSTD-20260115-0009/HĐTĐ-VFI-01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HSTD-20260115-0009/HĐTĐ-VFI </w:t>
      </w:r>
      <w:r>
        <w:rPr>
          <w:i/>
          <w:iCs/>
          <w:color w:val="000000" w:themeColor="text1"/>
        </w:rPr>
        <w:t xml:space="preserve">,</w:t>
      </w:r>
      <w:r>
        <w:rPr>
          <w:i/>
          <w:iCs/>
          <w:color w:val="000000" w:themeColor="text1"/>
        </w:rPr>
        <w:t xml:space="preserve">ngày 16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HSTD-20260115-0009/HĐTĐ-VFI đã ký ngày 16 tháng 1 năm 2026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HSTD-20260115-0009/HĐTĐ-VFI đã ký ngày 16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HSTD-20260115-0009/HĐTĐ-VFI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HSTD-20260115-0009/HĐTĐ-VFI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Lương Viết Xuân</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Times New Roman Bold">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79</cp:revision>
  <dcterms:created xsi:type="dcterms:W3CDTF">2025-09-08T09:51:00Z</dcterms:created>
  <dcterms:modified xsi:type="dcterms:W3CDTF">2026-01-21T03:20:59Z</dcterms:modified>
</cp:coreProperties>
</file>