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i/>
                <w:color w:val="000000"/>
                <w:spacing w:val="-4"/>
                <w:sz w:val="24"/>
              </w:rPr>
              <w:t xml:space="preserve">275/2026/0338/VFI-HĐTĐ.48.A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CÔNG TY CỔ PHẦN THÉP VIỆT ÚC</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2400397258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Nhà điều hành, lô đất HCDV4, Cụm Công Nghiệp Nội Hoàng, Phường Tiền Phong, tỉnh Bắc Ninh, Việt Nam</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Ông Đỗ Văn Hùng</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Chức vụ</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rPr>
            </w:pPr>
            <w:r>
              <w:rPr>
                <w:b/>
                <w:bCs/>
                <w:color w:val="000000" w:themeColor="text1"/>
              </w:rPr>
              <w:t xml:space="preserve">Chủ tịch HĐQT</w:t>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rFonts w:ascii="Times New Roman" w:hAnsi="Times New Roman" w:eastAsia="Times New Roman" w:cs="Times New Roman"/>
                <w:color w:val="000000"/>
                <w:sz w:val="24"/>
              </w:rPr>
              <w:t xml:space="preserve">Tài khoản</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0731 000 619 551  Ngân hàng Vietcombank chi nhánh Bắc Giang</w:t>
            </w:r>
            <w:r/>
          </w:p>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1120000 91256      Ngân hàng Vietinbank chi nhánh Đông Hà Nội</w:t>
            </w:r>
            <w:r/>
          </w:p>
          <w:p>
            <w:pPr>
              <w:pBdr/>
              <w:spacing w:after="40" w:before="40" w:line="288" w:lineRule="auto"/>
              <w:ind/>
              <w:contextualSpacing w:val="true"/>
              <w:rPr>
                <w:b/>
                <w:color w:val="000000" w:themeColor="text1"/>
              </w:rPr>
            </w:pPr>
            <w:r>
              <w:rPr>
                <w:rFonts w:ascii="Times New Roman" w:hAnsi="Times New Roman" w:eastAsia="Times New Roman" w:cs="Times New Roman"/>
                <w:color w:val="000000"/>
                <w:sz w:val="24"/>
              </w:rPr>
              <w:t xml:space="preserve">1005 460 068        Ngân hàng SHb chi nhánh Kinh Bắc</w:t>
            </w: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tài sản phát sinh từ đất thuê trả tiền hàng năm và tài sản gắn liền với đất có địa chỉ tại: Một phần lô 15, 17, cụm công nghiệp Nội Hoàng, xã Nội Hoàng, huyện Yên Dũng, tỉnh Bắc Giang (nay là phường Tiền Phong, tỉnh Bắc Ninh) theo Giấy chứng nhận quy</w:t>
      </w:r>
      <w:r>
        <w:rPr>
          <w:rFonts w:ascii="Times New Roman" w:hAnsi="Times New Roman" w:eastAsia="Times New Roman" w:cs="Times New Roman"/>
          <w:color w:val="000000"/>
          <w:sz w:val="24"/>
        </w:rPr>
        <w:t xml:space="preserve">ền sử dụng đất quyền sở hữu nhà ở và tài sản khác gắn liền với đất số BX 519056, số vào sổ cấp GCN: CT00050/21 do Sở Tài nguyên và Môi trường tỉnh Bắc Giang cấp ngày 04/12/2014 cho Công ty cổ phần thép Việt Úc</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w:t>
      </w:r>
      <w:r>
        <w:rPr>
          <w:color w:val="000000" w:themeColor="text1"/>
        </w:rPr>
        <w:t xml:space="preserve">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w:t>
      </w:r>
      <w:r>
        <w:rPr>
          <w:color w:val="000000" w:themeColor="text1"/>
        </w:rPr>
        <w:t xml:space="preserve"> </w:t>
      </w:r>
      <w:r>
        <w:rPr>
          <w:color w:val="000000" w:themeColor="text1"/>
        </w:rPr>
        <w:t xml:space="preserve">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w:t>
      </w:r>
      <w:r>
        <w:rPr>
          <w:color w:val="000000" w:themeColor="text1"/>
        </w:rPr>
        <w:t xml:space="preserve">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t xml:space="preserve"> </w:t>
            </w: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r>
            <w:r>
              <w:rPr>
                <w:b/>
                <w:bCs/>
                <w:color w:val="000000" w:themeColor="text1"/>
              </w:rPr>
            </w:r>
          </w:p>
        </w:tc>
      </w:tr>
    </w:tbl>
    <w:p>
      <w:pPr>
        <w:pBdr/>
        <w:spacing w:line="312" w:lineRule="auto"/>
        <w:ind/>
        <w:jc w:val="left"/>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
      <w:numFmt w:val="bullet"/>
      <w:pPr>
        <w:pBdr/>
        <w:spacing/>
        <w:ind w:hanging="360" w:left="1080"/>
      </w:pPr>
      <w:rPr>
        <w:rFonts w:hint="default" w:ascii="Symbol" w:hAnsi="Symbol"/>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76</cp:revision>
  <dcterms:created xsi:type="dcterms:W3CDTF">2025-09-08T09:51:00Z</dcterms:created>
  <dcterms:modified xsi:type="dcterms:W3CDTF">2026-03-12T08:17:43Z</dcterms:modified>
</cp:coreProperties>
</file>