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275/2026/0138/VFI-HĐTĐ.27.A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tabs>
                <w:tab w:val="left" w:leader="none" w:pos="1313"/>
              </w:tabs>
              <w:spacing w:after="40" w:before="40" w:line="288" w:lineRule="auto"/>
              <w:ind/>
              <w:contextualSpacing w:val="true"/>
              <w:outlineLvl w:val="0"/>
              <w:rPr>
                <w:b/>
                <w:color w:val="000000" w:themeColor="text1"/>
                <w:spacing w:val="-8"/>
              </w:rPr>
            </w:pPr>
            <w:r/>
            <w:bookmarkEnd w:id="0"/>
            <w:r>
              <w:rPr>
                <w:b/>
                <w:color w:val="000000" w:themeColor="text1"/>
                <w:spacing w:val="-8"/>
              </w:rPr>
              <w:t xml:space="preserve">ÔNG TỐNG DUY CHUẨN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010086008009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dân phố 1 Bắc Cường, thành phố Lào Cai, tỉnh Lào Cai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highlight w:val="none"/>
        </w:rPr>
        <w:t xml:space="preserve">Quyền sử dụng đất tại thửa đất số 304, tờ bản đồ số 133 có địa chỉ tại đường M2, tổ dân phố số 1 Bắc Cường, phường Cam Đường, tỉnh Lào </w:t>
      </w:r>
      <w:r>
        <w:rPr>
          <w:color w:val="000000"/>
          <w:highlight w:val="none"/>
        </w:rPr>
        <w:t xml:space="preserve">Cai theo Giấy chứng nhận Quyền sử dụng đất, quyền sở hữu tai sản gắn liền với đất số AA 04847725, số vào sổ cấp GCN: CX 605 do UBND phường Cam Đường cấp ngày 08/1/2026 cho ông Tống Duy Chuẩn và bà Lê Thị Huyền Trang</w:t>
      </w:r>
      <w:r>
        <w:rPr>
          <w:b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2.272.727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227.273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TỐNG DUY CHUẨN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275/2026/0138/VFI-HĐTĐ.27.A-01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275/2026/0138/VFI-HĐTĐ.27.A </w:t>
      </w:r>
      <w:r>
        <w:rPr>
          <w:color w:val="000000" w:themeColor="text1"/>
        </w:rPr>
        <w:t xml:space="preserve">đã ký </w:t>
      </w:r>
      <w:r>
        <w:rPr>
          <w:color w:val="000000" w:themeColor="text1"/>
        </w:rPr>
        <w:t xml:space="preserve">ngày 19 tháng 1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tabs>
                <w:tab w:val="left" w:leader="none" w:pos="1313"/>
              </w:tabs>
              <w:spacing w:after="40" w:before="40" w:line="288" w:lineRule="auto"/>
              <w:ind/>
              <w:contextualSpacing w:val="true"/>
              <w:outlineLvl w:val="0"/>
              <w:rPr>
                <w:b/>
                <w:color w:val="000000" w:themeColor="text1"/>
                <w:spacing w:val="-8"/>
              </w:rPr>
            </w:pPr>
            <w:r>
              <w:rPr>
                <w:b/>
                <w:color w:val="000000" w:themeColor="text1"/>
                <w:spacing w:val="-8"/>
              </w:rPr>
              <w:t xml:space="preserve">ÔNG TỐNG DUY CHUẨN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010086008009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dân phố 1 Bắc Cường, thành phố Lào Cai, tỉnh Lào Cai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275/2026/0138/VFI-HĐTĐ.27.A-01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275/2026/0138/VFI-HĐTĐ.27.A </w:t>
      </w:r>
      <w:r>
        <w:rPr>
          <w:i/>
          <w:iCs/>
          <w:color w:val="000000" w:themeColor="text1"/>
        </w:rPr>
        <w:t xml:space="preserve">,</w:t>
      </w:r>
      <w:r>
        <w:rPr>
          <w:i/>
          <w:iCs/>
          <w:color w:val="000000" w:themeColor="text1"/>
        </w:rPr>
        <w:t xml:space="preserve">ngày 19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275/2026/0138/VFI-HĐTĐ.27.A đã ký ngày 19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275/2026/0138/VFI-HĐTĐ.27.A đã ký ngày 19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275/2026/0138/VFI-HĐTĐ.27.A</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275/2026/0138/VFI-HĐTĐ.27.A</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Tống Duy Chuẩn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81</cp:revision>
  <dcterms:created xsi:type="dcterms:W3CDTF">2025-09-08T09:51:00Z</dcterms:created>
  <dcterms:modified xsi:type="dcterms:W3CDTF">2026-01-22T08:59:26Z</dcterms:modified>
</cp:coreProperties>
</file>