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275/2026/0148/VFI-HĐTĐ.44.A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81b3a"/>
                <w:spacing w:val="3"/>
                <w:sz w:val="24"/>
                <w:highlight w:val="white"/>
              </w:rPr>
              <w:t xml:space="preserve">CÔNG TY TNHH ĐIỆN TỬ VÀ CÔNG NGHỆ NAM PHÁT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0106681101</w:t>
            </w:r>
            <w:r/>
          </w:p>
        </w:tc>
      </w:tr>
      <w:tr>
        <w:trPr>
          <w:cantSplit/>
          <w:trHeight w:val="386"/>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5, thôn Phương Quế, xã Hồng Vân,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Tài sản tại: Phường Thịnh Liệt, Quận Hoàng Mai, Thành phố Hà Nội, khoảng cách ra đường chính Cách đường Ao Sào khoảng khoảng 100m, độ rộng đường trước mặt tài sản 7m, mặt tiền 5m, 20.974801083022, 105.85328406719</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9.259.259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740.741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HSTD-20260113-0029/HĐTĐ-VFI-01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HSTD-20260113-0029/HĐTĐ-VFI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Vũ Văn Tĩnh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001057001085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HSTD-20260113-0029/HĐTĐ-VFI-01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HSTD-20260113-0029/HĐTĐ-VFI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HSTD-20260113-0029/HĐTĐ-VFI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HSTD-20260113-0029/HĐTĐ-VFI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HSTD-20260113-0029/HĐTĐ-VFI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HSTD-20260113-0029/HĐTĐ-VFI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Tĩnh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2026-01-24T04:10:06Z</dcterms:modified>
</cp:coreProperties>
</file>