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w:t>
            </w:r>
            <w:r>
              <w:rPr>
                <w:i/>
                <w:iCs/>
                <w:color w:val="000000" w:themeColor="text1"/>
              </w:rPr>
              <w:t xml:space="preserve">ố: </w:t>
            </w:r>
            <w:r>
              <w:rPr>
                <w:i/>
                <w:iCs/>
                <w:color w:val="000000" w:themeColor="text1"/>
              </w:rPr>
              <w:t xml:space="preserve">275/2026/0021/VFI-HĐTĐ.39.A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05 tháng 01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QUỐC TẾ YUU CHANG VIỆT NAM</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3702592708</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Một phần lô A7 (Ô A7.2), Đường N3, Khu B, Khu công nghiệp Đất Cuốc, Xã Bắc Tân Uyên, Thành phố Hồ Chí Minh, Việt Nam.</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Xiao Zhi Ling</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Giấy chứng nhận số CO 457630, Số vào sổ cấp GCN CT33558, Nơi cấp Sở Tài nguyên và Môi trường tỉnh Bình Dương, Ngày cấp 11/12/2018, Số thửa 755, Tờ bản đồ 38, Địa chỉ trên sổ KCN </w:t>
      </w:r>
      <w:r>
        <w:rPr>
          <w:bCs/>
        </w:rPr>
        <w:t xml:space="preserve">Đất Cuốc, xã Đất Cuốc, huyện Bắc Tần Uyên, tỉnh Binh Dương | Tài sản tại: hu công nghiệp KSB, Xã Đất Cuốc, Huyện Bắc Tân Uyên, Tỉnh Bình Dương, đường Đường nội bộ KCN, độ rộng đường trước mặt tài sản 12m, mặt tiền 137.96m, 11.107833333333, 106.82955555556</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01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6.800.000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544.000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bCs/>
                <w:color w:val="000000" w:themeColor="text1"/>
              </w:rPr>
              <w:t xml:space="preserve">7.344.000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ba trăm bốn mươi bốn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w:t>
      </w:r>
      <w:r>
        <w:rPr>
          <w:color w:val="000000" w:themeColor="text1"/>
        </w:rPr>
        <w:t xml:space="preserve">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71</cp:revision>
  <dcterms:created xsi:type="dcterms:W3CDTF">2025-09-08T09:51:00Z</dcterms:created>
  <dcterms:modified xsi:type="dcterms:W3CDTF">2026-02-27T04:56:29Z</dcterms:modified>
</cp:coreProperties>
</file>