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i/>
                <w:color w:val="000000" w:themeColor="text1"/>
              </w:rPr>
              <w:t xml:space="preserve">275/2025/1901/VFI-HĐTĐ.24.A</w:t>
            </w:r>
            <w:r>
              <w:rPr>
                <w:i/>
                <w:color w:val="000000" w:themeColor="text1"/>
              </w:rPr>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31 tháng 12 năm 2025</w:t>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44"/>
        <w:gridCol w:w="226"/>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gridSpan w:val="2"/>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59F6DA7" w14:textId="3CA5AB44">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Võ Tiến Sỹ</w:t>
            </w:r>
            <w:bookmarkEnd w:id="0"/>
            <w:r>
              <w:rPr>
                <w:b/>
                <w:color w:val="000000" w:themeColor="text1"/>
                <w:spacing w:val="-8"/>
              </w:rPr>
            </w:r>
          </w:p>
        </w:tc>
      </w:tr>
      <w:tr>
        <w:trPr>
          <w:cantSplit/>
          <w:trHeight w:val="20"/>
        </w:trPr>
        <w:tc>
          <w:tcPr>
            <w:tcBorders/>
            <w:tcW w:w="1505" w:type="dxa"/>
            <w:vAlign w:val="center"/>
            <w:textDirection w:val="lrTb"/>
            <w:noWrap w:val="false"/>
          </w:tcPr>
          <w:p w14:paraId="47B702AD" w14:textId="3DC26743">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gridSpan w:val="2"/>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20AF49ED" w14:textId="531E65B2">
            <w:pPr>
              <w:pBdr/>
              <w:spacing w:after="40" w:before="40" w:line="288" w:lineRule="auto"/>
              <w:ind/>
              <w:contextualSpacing w:val="true"/>
              <w:rPr>
                <w:bCs/>
                <w:color w:val="000000" w:themeColor="text1"/>
                <w:lang w:val="vi-VN"/>
              </w:rPr>
            </w:pPr>
            <w:r>
              <w:rPr>
                <w:color w:val="000000" w:themeColor="text1"/>
              </w:rPr>
              <w:t xml:space="preserve">01906700143</w:t>
            </w:r>
            <w:r>
              <w:rPr>
                <w:bCs/>
                <w:color w:val="000000" w:themeColor="text1"/>
                <w:lang w:val="vi-VN"/>
              </w:rPr>
            </w:r>
          </w:p>
        </w:tc>
      </w:tr>
      <w:tr>
        <w:trPr>
          <w:cantSplit/>
          <w:trHeight w:val="20"/>
        </w:trPr>
        <w:tc>
          <w:tcPr>
            <w:tcBorders/>
            <w:tcW w:w="1505" w:type="dxa"/>
            <w:vAlign w:val="center"/>
            <w:textDirection w:val="lrTb"/>
            <w:noWrap w:val="false"/>
          </w:tcPr>
          <w:p w14:paraId="2E6458EB" w14:textId="3E314D93">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gridSpan w:val="2"/>
            <w:tcBorders/>
            <w:tcW w:w="270" w:type="dxa"/>
            <w:vAlign w:val="center"/>
            <w:textDirection w:val="lrTb"/>
            <w:noWrap w:val="false"/>
          </w:tcPr>
          <w:p w14:paraId="5AB40503"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47313588" w14:textId="5B7D3557">
            <w:pPr>
              <w:pBdr/>
              <w:spacing w:after="40" w:before="40" w:line="288" w:lineRule="auto"/>
              <w:ind/>
              <w:contextualSpacing w:val="true"/>
              <w:rPr>
                <w:bCs/>
                <w:color w:val="000000" w:themeColor="text1"/>
              </w:rPr>
            </w:pPr>
            <w:r>
              <w:rPr>
                <w:color w:val="000000" w:themeColor="text1"/>
                <w:lang w:val="vi-VN"/>
              </w:rPr>
              <w:t xml:space="preserve">Số 12 ngõ 47 Đặng Văn Ngữ, phường Kim Liên,  Thành phố Hà Nội</w:t>
            </w:r>
            <w:r>
              <w:rPr>
                <w:bCs/>
                <w:color w:val="000000" w:themeColor="text1"/>
              </w:rP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gridSpan w:val="2"/>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gridSpan w:val="2"/>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gridSpan w:val="2"/>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gridSpan w:val="2"/>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gridSpan w:val="2"/>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gridSpan w:val="2"/>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gridSpan w:val="2"/>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gridSpan w:val="2"/>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trHeight w:val="20"/>
        </w:trPr>
        <w:tc>
          <w:tcPr>
            <w:tcBorders/>
            <w:tcW w:w="1505" w:type="dxa"/>
            <w:vAlign w:val="center"/>
            <w:vMerge w:val="restart"/>
            <w:textDirection w:val="lrTb"/>
            <w:noWrap w:val="false"/>
          </w:tcPr>
          <w:p w14:paraId="2506ECAE">
            <w:pPr>
              <w:pBdr/>
              <w:spacing w:after="40" w:before="40" w:line="288" w:lineRule="auto"/>
              <w:ind/>
              <w:contextualSpacing w:val="true"/>
              <w:rPr>
                <w:b/>
                <w:bCs/>
                <w:color w:val="000000" w:themeColor="text1"/>
              </w:rPr>
            </w:pPr>
            <w:r>
              <w:rPr>
                <w:b/>
                <w:bCs/>
                <w:color w:val="000000" w:themeColor="text1"/>
              </w:rPr>
              <w:t xml:space="preserve">Bên C</w:t>
            </w:r>
            <w:r>
              <w:rPr>
                <w:b/>
                <w:bCs/>
                <w:color w:val="000000" w:themeColor="text1"/>
              </w:rPr>
            </w:r>
          </w:p>
        </w:tc>
        <w:tc>
          <w:tcPr>
            <w:gridSpan w:val="2"/>
            <w:tcBorders/>
            <w:tcW w:w="270" w:type="dxa"/>
            <w:vAlign w:val="center"/>
            <w:vMerge w:val="restart"/>
            <w:textDirection w:val="lrTb"/>
            <w:noWrap w:val="false"/>
          </w:tcPr>
          <w:p w14:paraId="3778DE1D">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vMerge w:val="restart"/>
            <w:textDirection w:val="lrTb"/>
            <w:noWrap w:val="false"/>
          </w:tcPr>
          <w:p w14:paraId="036507F5">
            <w:pPr>
              <w:pBdr>
                <w:top w:val="none" w:color="000000" w:sz="4" w:space="0"/>
                <w:left w:val="none" w:color="000000" w:sz="4" w:space="0"/>
                <w:bottom w:val="none" w:color="000000" w:sz="4" w:space="0"/>
                <w:right w:val="none" w:color="000000" w:sz="4" w:space="0"/>
              </w:pBdr>
              <w:tabs>
                <w:tab w:val="left" w:leader="none" w:pos="6030"/>
              </w:tabs>
              <w:spacing w:after="120" w:before="120" w:line="288" w:lineRule="auto"/>
              <w:ind w:right="0" w:firstLine="0" w:left="0"/>
              <w:jc w:val="both"/>
              <w:rPr/>
            </w:pPr>
            <w:r>
              <w:rPr>
                <w:rFonts w:ascii="Times New Roman" w:hAnsi="Times New Roman" w:eastAsia="Times New Roman" w:cs="Times New Roman"/>
                <w:b/>
                <w:color w:val="000000"/>
                <w:sz w:val="24"/>
              </w:rPr>
              <w:t xml:space="preserve">NGÂN HÀNG TMCP SÀI GÒN – HÀ NỘI</w:t>
            </w:r>
            <w:r/>
            <w:r>
              <w:rPr>
                <w:b/>
                <w:bCs/>
                <w:color w:val="000000" w:themeColor="text1"/>
              </w:rPr>
            </w:r>
            <w:r>
              <w:rPr>
                <w:b/>
                <w:bCs/>
                <w:color w:val="000000" w:themeColor="text1"/>
              </w:rPr>
            </w:r>
            <w:r>
              <w:rPr>
                <w:sz w:val="22"/>
              </w:rPr>
            </w:r>
          </w:p>
        </w:tc>
      </w:tr>
      <w:tr>
        <w:trPr>
          <w:trHeight w:val="20"/>
        </w:trPr>
        <w:tc>
          <w:tcPr>
            <w:tcBorders/>
            <w:tcW w:w="1505" w:type="dxa"/>
            <w:vAlign w:val="center"/>
            <w:vMerge w:val="restart"/>
            <w:textDirection w:val="lrTb"/>
            <w:noWrap w:val="false"/>
          </w:tcPr>
          <w:p w14:paraId="13868567">
            <w:pPr>
              <w:pBdr/>
              <w:spacing w:after="40" w:before="40" w:line="288" w:lineRule="auto"/>
              <w:ind/>
              <w:contextualSpacing w:val="true"/>
              <w:rPr>
                <w:bCs/>
                <w:color w:val="000000" w:themeColor="text1"/>
              </w:rPr>
            </w:pPr>
            <w:r>
              <w:rPr>
                <w:bCs/>
                <w:color w:val="000000" w:themeColor="text1"/>
              </w:rPr>
            </w:r>
            <w:r>
              <w:rPr>
                <w:rFonts w:ascii="Times New Roman" w:hAnsi="Times New Roman" w:eastAsia="Times New Roman" w:cs="Times New Roman"/>
                <w:color w:val="000000"/>
                <w:sz w:val="24"/>
              </w:rPr>
              <w:t xml:space="preserve">Mã số thuế</w:t>
            </w:r>
            <w:r>
              <w:rPr>
                <w:bCs/>
                <w:color w:val="000000" w:themeColor="text1"/>
              </w:rPr>
            </w:r>
            <w:r>
              <w:rPr>
                <w:bCs/>
                <w:color w:val="000000" w:themeColor="text1"/>
              </w:rPr>
            </w:r>
          </w:p>
        </w:tc>
        <w:tc>
          <w:tcPr>
            <w:gridSpan w:val="2"/>
            <w:tcBorders/>
            <w:tcW w:w="270" w:type="dxa"/>
            <w:vAlign w:val="center"/>
            <w:vMerge w:val="restart"/>
            <w:textDirection w:val="lrTb"/>
            <w:noWrap w:val="false"/>
          </w:tcPr>
          <w:p w14:paraId="21B781C0">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vMerge w:val="restart"/>
            <w:textDirection w:val="lrTb"/>
            <w:noWrap w:val="false"/>
          </w:tcPr>
          <w:p w14:paraId="1CEDB9C3">
            <w:pPr>
              <w:pBdr/>
              <w:spacing w:after="40" w:before="40" w:line="288" w:lineRule="auto"/>
              <w:ind/>
              <w:contextualSpacing w:val="true"/>
              <w:rPr>
                <w:b/>
                <w:bCs/>
                <w:color w:val="000000" w:themeColor="text1"/>
              </w:rPr>
            </w:pPr>
            <w:r>
              <w:rPr>
                <w:b/>
                <w:bCs/>
                <w:color w:val="000000" w:themeColor="text1"/>
              </w:rPr>
            </w:r>
            <w:r>
              <w:rPr>
                <w:rFonts w:ascii="Times New Roman" w:hAnsi="Times New Roman" w:eastAsia="Times New Roman" w:cs="Times New Roman"/>
                <w:b/>
                <w:color w:val="000000"/>
                <w:sz w:val="24"/>
              </w:rPr>
              <w:t xml:space="preserve">1800278630</w:t>
            </w:r>
            <w:r>
              <w:rPr>
                <w:b/>
                <w:bCs/>
                <w:color w:val="000000" w:themeColor="text1"/>
              </w:rPr>
            </w:r>
            <w:r>
              <w:rPr>
                <w:b/>
                <w:bCs/>
                <w:color w:val="000000" w:themeColor="text1"/>
              </w:rPr>
            </w:r>
          </w:p>
        </w:tc>
      </w:tr>
      <w:tr>
        <w:trPr>
          <w:trHeight w:val="20"/>
        </w:trPr>
        <w:tc>
          <w:tcPr>
            <w:tcBorders/>
            <w:tcW w:w="1505" w:type="dxa"/>
            <w:vAlign w:val="center"/>
            <w:vMerge w:val="restart"/>
            <w:textDirection w:val="lrTb"/>
            <w:noWrap w:val="false"/>
          </w:tcPr>
          <w:p w14:paraId="3226A25F">
            <w:pPr>
              <w:pBdr/>
              <w:spacing w:after="40" w:before="40" w:line="288" w:lineRule="auto"/>
              <w:ind/>
              <w:contextualSpacing w:val="true"/>
              <w:rPr>
                <w:bCs/>
                <w:color w:val="000000" w:themeColor="text1"/>
              </w:rPr>
            </w:pPr>
            <w:r>
              <w:rPr>
                <w:bCs/>
                <w:color w:val="000000" w:themeColor="text1"/>
              </w:rPr>
            </w:r>
            <w:r>
              <w:rPr>
                <w:rFonts w:ascii="Times New Roman" w:hAnsi="Times New Roman" w:eastAsia="Times New Roman" w:cs="Times New Roman"/>
                <w:color w:val="000000"/>
                <w:sz w:val="24"/>
              </w:rPr>
              <w:t xml:space="preserve">Địa chỉ</w:t>
            </w:r>
            <w:r>
              <w:rPr>
                <w:bCs/>
                <w:color w:val="000000" w:themeColor="text1"/>
              </w:rPr>
            </w:r>
            <w:r>
              <w:rPr>
                <w:bCs/>
                <w:color w:val="000000" w:themeColor="text1"/>
              </w:rPr>
            </w:r>
          </w:p>
        </w:tc>
        <w:tc>
          <w:tcPr>
            <w:gridSpan w:val="2"/>
            <w:tcBorders/>
            <w:tcW w:w="270" w:type="dxa"/>
            <w:vAlign w:val="center"/>
            <w:vMerge w:val="restart"/>
            <w:textDirection w:val="lrTb"/>
            <w:noWrap w:val="false"/>
          </w:tcPr>
          <w:p w14:paraId="7C208659">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vMerge w:val="restart"/>
            <w:textDirection w:val="lrTb"/>
            <w:noWrap w:val="false"/>
          </w:tcPr>
          <w:p w14:paraId="4ED3C824">
            <w:pPr>
              <w:pBdr/>
              <w:spacing w:after="40" w:before="40" w:line="288" w:lineRule="auto"/>
              <w:ind/>
              <w:contextualSpacing w:val="true"/>
              <w:rPr>
                <w:b w:val="0"/>
                <w:bCs w:val="0"/>
                <w:color w:val="000000" w:themeColor="text1"/>
              </w:rPr>
            </w:pPr>
            <w:r>
              <w:rPr>
                <w:b w:val="0"/>
                <w:bCs w:val="0"/>
                <w:color w:val="000000" w:themeColor="text1"/>
              </w:rPr>
              <w:t xml:space="preserve">Số 77 Trần Hưng Đạo, phường Cửa Nam, thành phố Hà Nội, Việt Nam</w:t>
            </w:r>
            <w:r>
              <w:rPr>
                <w:b w:val="0"/>
                <w:bCs w:val="0"/>
                <w:color w:val="000000" w:themeColor="text1"/>
              </w:rPr>
            </w:r>
          </w:p>
        </w:tc>
      </w:tr>
      <w:tr>
        <w:trPr>
          <w:trHeight w:val="20"/>
        </w:trPr>
        <w:tc>
          <w:tcPr>
            <w:tcBorders/>
            <w:tcW w:w="1505" w:type="dxa"/>
            <w:vAlign w:val="center"/>
            <w:vMerge w:val="restart"/>
            <w:textDirection w:val="lrTb"/>
            <w:noWrap w:val="false"/>
          </w:tcPr>
          <w:p w14:paraId="6037C0A7">
            <w:pPr>
              <w:pBdr/>
              <w:spacing w:after="40" w:before="40" w:line="288" w:lineRule="auto"/>
              <w:ind/>
              <w:contextualSpacing w:val="true"/>
              <w:rPr>
                <w:bCs/>
                <w:color w:val="000000" w:themeColor="text1"/>
              </w:rPr>
            </w:pPr>
            <w:r>
              <w:rPr>
                <w:bCs/>
                <w:color w:val="000000" w:themeColor="text1"/>
              </w:rPr>
            </w:r>
            <w:r>
              <w:rPr>
                <w:rFonts w:ascii="Times New Roman" w:hAnsi="Times New Roman" w:eastAsia="Times New Roman" w:cs="Times New Roman"/>
                <w:color w:val="000000"/>
                <w:sz w:val="24"/>
              </w:rPr>
              <w:t xml:space="preserve">Điện thoại</w:t>
            </w:r>
            <w:r>
              <w:rPr>
                <w:bCs/>
                <w:color w:val="000000" w:themeColor="text1"/>
              </w:rPr>
            </w:r>
            <w:r>
              <w:rPr>
                <w:bCs/>
                <w:color w:val="000000" w:themeColor="text1"/>
              </w:rPr>
            </w:r>
          </w:p>
        </w:tc>
        <w:tc>
          <w:tcPr>
            <w:gridSpan w:val="2"/>
            <w:tcBorders/>
            <w:tcW w:w="270" w:type="dxa"/>
            <w:vAlign w:val="center"/>
            <w:vMerge w:val="restart"/>
            <w:textDirection w:val="lrTb"/>
            <w:noWrap w:val="false"/>
          </w:tcPr>
          <w:p w14:paraId="7C208659">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vMerge w:val="restart"/>
            <w:textDirection w:val="lrTb"/>
            <w:noWrap w:val="false"/>
          </w:tcPr>
          <w:p w14:paraId="5D3F3BFB">
            <w:pPr>
              <w:pBdr/>
              <w:spacing w:after="40" w:before="40" w:line="288" w:lineRule="auto"/>
              <w:ind/>
              <w:contextualSpacing w:val="true"/>
              <w:rPr>
                <w:b/>
                <w:bCs/>
                <w:color w:val="000000" w:themeColor="text1"/>
              </w:rPr>
            </w:pPr>
            <w:r>
              <w:rPr>
                <w:b/>
                <w:bCs/>
                <w:color w:val="000000" w:themeColor="text1"/>
              </w:rPr>
            </w:r>
            <w:r>
              <w:rPr>
                <w:rFonts w:ascii="Times New Roman" w:hAnsi="Times New Roman" w:eastAsia="Times New Roman" w:cs="Times New Roman"/>
                <w:color w:val="000000"/>
                <w:sz w:val="24"/>
              </w:rPr>
              <w:t xml:space="preserve">(024) 39423388                 Fax: (024) 39410844</w:t>
            </w:r>
            <w:r>
              <w:rPr>
                <w:b/>
                <w:bCs/>
                <w:color w:val="000000" w:themeColor="text1"/>
              </w:rPr>
            </w:r>
            <w:r>
              <w:rPr>
                <w:b/>
                <w:bCs/>
                <w:color w:val="000000" w:themeColor="text1"/>
              </w:rPr>
            </w:r>
          </w:p>
        </w:tc>
      </w:tr>
      <w:tr>
        <w:trPr>
          <w:trHeight w:val="20"/>
        </w:trPr>
        <w:tc>
          <w:tcPr>
            <w:tcBorders/>
            <w:tcW w:w="1505" w:type="dxa"/>
            <w:vAlign w:val="center"/>
            <w:vMerge w:val="restart"/>
            <w:textDirection w:val="lrTb"/>
            <w:noWrap w:val="false"/>
          </w:tcPr>
          <w:p w14:paraId="05DC9056">
            <w:pPr>
              <w:pBdr/>
              <w:spacing w:after="40" w:before="40" w:line="288" w:lineRule="auto"/>
              <w:ind/>
              <w:contextualSpacing w:val="true"/>
              <w:rPr>
                <w:bCs/>
                <w:color w:val="000000" w:themeColor="text1"/>
              </w:rPr>
            </w:pPr>
            <w:r>
              <w:rPr>
                <w:bCs/>
                <w:color w:val="000000" w:themeColor="text1"/>
              </w:rPr>
            </w:r>
            <w:r>
              <w:rPr>
                <w:rFonts w:ascii="Times New Roman" w:hAnsi="Times New Roman" w:eastAsia="Times New Roman" w:cs="Times New Roman"/>
                <w:color w:val="000000"/>
                <w:sz w:val="24"/>
              </w:rPr>
              <w:t xml:space="preserve">Người đại diện</w:t>
            </w:r>
            <w:r>
              <w:rPr>
                <w:bCs/>
                <w:color w:val="000000" w:themeColor="text1"/>
              </w:rPr>
            </w:r>
            <w:r>
              <w:rPr>
                <w:bCs/>
                <w:color w:val="000000" w:themeColor="text1"/>
              </w:rPr>
            </w:r>
          </w:p>
        </w:tc>
        <w:tc>
          <w:tcPr>
            <w:gridSpan w:val="2"/>
            <w:tcBorders/>
            <w:tcW w:w="270" w:type="dxa"/>
            <w:vAlign w:val="center"/>
            <w:vMerge w:val="restart"/>
            <w:textDirection w:val="lrTb"/>
            <w:noWrap w:val="false"/>
          </w:tcPr>
          <w:p w14:paraId="7C208659">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vMerge w:val="restart"/>
            <w:textDirection w:val="lrTb"/>
            <w:noWrap w:val="false"/>
          </w:tcPr>
          <w:p w14:paraId="64D24D6C">
            <w:pPr>
              <w:pBdr/>
              <w:spacing w:after="40" w:before="40" w:line="288" w:lineRule="auto"/>
              <w:ind/>
              <w:contextualSpacing w:val="true"/>
              <w:rPr>
                <w:b w:val="0"/>
                <w:bCs w:val="0"/>
                <w14:ligatures w14:val="none"/>
              </w:rPr>
            </w:pPr>
            <w:r>
              <w:rPr>
                <w:b/>
                <w:bCs/>
                <w:color w:val="000000" w:themeColor="text1"/>
              </w:rPr>
              <w:t xml:space="preserve">Ông Trần Quốc Hùng         </w:t>
            </w:r>
            <w:r>
              <w:rPr>
                <w:b w:val="0"/>
                <w:bCs w:val="0"/>
              </w:rPr>
              <w:t xml:space="preserve">Chức vụ: Giám đốc Chi nhánh</w:t>
            </w:r>
            <w:r>
              <w:rPr>
                <w:b w:val="0"/>
                <w:bCs w:val="0"/>
              </w:rPr>
            </w:r>
          </w:p>
        </w:tc>
      </w:tr>
      <w:tr>
        <w:trPr>
          <w:trHeight w:val="20"/>
        </w:trPr>
        <w:tc>
          <w:tcPr>
            <w:tcBorders/>
            <w:tcW w:w="1505" w:type="dxa"/>
            <w:vAlign w:val="center"/>
            <w:vMerge w:val="restart"/>
            <w:textDirection w:val="lrTb"/>
            <w:noWrap w:val="false"/>
          </w:tcPr>
          <w:p w14:paraId="6D3FE340">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gridSpan w:val="2"/>
            <w:tcBorders/>
            <w:tcW w:w="270" w:type="dxa"/>
            <w:vAlign w:val="center"/>
            <w:vMerge w:val="restart"/>
            <w:textDirection w:val="lrTb"/>
            <w:noWrap w:val="false"/>
          </w:tcPr>
          <w:p w14:paraId="2D620A92">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vMerge w:val="restart"/>
            <w:textDirection w:val="lrTb"/>
            <w:noWrap w:val="false"/>
          </w:tcPr>
          <w:p w14:paraId="039D5387">
            <w:pPr>
              <w:pBdr/>
              <w:spacing w:after="40" w:before="40" w:line="288" w:lineRule="auto"/>
              <w:ind/>
              <w:contextualSpacing w:val="true"/>
              <w:rPr>
                <w:b w:val="0"/>
                <w:bCs w:val="0"/>
                <w:color w:val="000000" w:themeColor="text1"/>
              </w:rPr>
            </w:pPr>
            <w:r>
              <w:rPr>
                <w:b w:val="0"/>
                <w:bCs w:val="0"/>
                <w:color w:val="000000" w:themeColor="text1"/>
              </w:rPr>
              <w:t xml:space="preserve">Theo văn bản uỷ quyền số 521/2024/VBUQ-SHB ngày 20/09/2024 về việc ký kết hợp đồng, thoả thuận, văn bản về tín dụng, bảo đảm tại các Đơn vị kinh doanh của Ngân hàng TMCP Sài Gòn – Hà Nội</w:t>
            </w:r>
            <w:r>
              <w:rPr>
                <w:b w:val="0"/>
                <w:bCs w:val="0"/>
                <w:color w:val="000000" w:themeColor="text1"/>
              </w:rPr>
            </w:r>
          </w:p>
        </w:tc>
      </w:tr>
      <w:tr>
        <w:trPr>
          <w:trHeight w:val="20"/>
        </w:trPr>
        <w:tc>
          <w:tcPr>
            <w:gridSpan w:val="2"/>
            <w:tcBorders/>
            <w:tcW w:w="1549" w:type="dxa"/>
            <w:vAlign w:val="center"/>
            <w:vMerge w:val="restart"/>
            <w:textDirection w:val="lrTb"/>
            <w:noWrap w:val="false"/>
          </w:tcPr>
          <w:p w14:paraId="67625CA2">
            <w:pPr>
              <w:pBdr/>
              <w:spacing w:after="40" w:before="40" w:line="288" w:lineRule="auto"/>
              <w:ind/>
              <w:contextualSpacing w:val="true"/>
              <w:rPr>
                <w:bCs/>
                <w:color w:val="000000" w:themeColor="text1"/>
              </w:rPr>
            </w:pPr>
            <w:r>
              <w:rPr>
                <w:bCs/>
                <w:color w:val="000000" w:themeColor="text1"/>
              </w:rPr>
            </w:r>
            <w:r>
              <w:rPr>
                <w:rFonts w:ascii="Times New Roman" w:hAnsi="Times New Roman" w:eastAsia="Times New Roman" w:cs="Times New Roman"/>
                <w:color w:val="000000"/>
                <w:sz w:val="24"/>
              </w:rPr>
              <w:t xml:space="preserve">Đơn vị trực tiếp thực hiện</w:t>
            </w:r>
            <w:r>
              <w:rPr>
                <w:bCs/>
                <w:color w:val="000000" w:themeColor="text1"/>
              </w:rPr>
            </w:r>
            <w:r>
              <w:rPr>
                <w:bCs/>
                <w:color w:val="000000" w:themeColor="text1"/>
              </w:rPr>
            </w:r>
          </w:p>
        </w:tc>
        <w:tc>
          <w:tcPr>
            <w:tcBorders/>
            <w:tcW w:w="226" w:type="dxa"/>
            <w:vAlign w:val="center"/>
            <w:vMerge w:val="restart"/>
            <w:textDirection w:val="lrTb"/>
            <w:noWrap w:val="false"/>
          </w:tcPr>
          <w:p w14:paraId="37887A86">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r>
              <w:rPr>
                <w:bCs/>
                <w:color w:val="000000" w:themeColor="text1"/>
              </w:rPr>
            </w:r>
            <w:r>
              <w:rPr>
                <w:bCs/>
                <w:color w:val="000000" w:themeColor="text1"/>
              </w:rPr>
            </w:r>
            <w:r>
              <w:rPr>
                <w:bCs/>
                <w:color w:val="000000" w:themeColor="text1"/>
              </w:rPr>
            </w:r>
          </w:p>
        </w:tc>
        <w:tc>
          <w:tcPr>
            <w:tcBorders/>
            <w:tcW w:w="7951" w:type="dxa"/>
            <w:vAlign w:val="center"/>
            <w:vMerge w:val="restart"/>
            <w:textDirection w:val="lrTb"/>
            <w:noWrap w:val="false"/>
          </w:tcPr>
          <w:p w14:paraId="09606F54">
            <w:pPr>
              <w:pBdr/>
              <w:spacing w:after="40" w:before="40" w:line="288" w:lineRule="auto"/>
              <w:ind/>
              <w:contextualSpacing w:val="true"/>
              <w:rPr>
                <w:b w:val="0"/>
                <w:bCs w:val="0"/>
                <w:color w:val="000000" w:themeColor="text1"/>
              </w:rPr>
            </w:pPr>
            <w:r>
              <w:rPr>
                <w:b w:val="0"/>
                <w:bCs w:val="0"/>
                <w:color w:val="000000" w:themeColor="text1"/>
              </w:rPr>
              <w:t xml:space="preserve">Chi nhánh Đông Đô</w:t>
            </w:r>
            <w:r>
              <w:rPr>
                <w:b w:val="0"/>
                <w:bCs w:val="0"/>
                <w:color w:val="000000" w:themeColor="text1"/>
              </w:rPr>
            </w:r>
          </w:p>
        </w:tc>
      </w:tr>
      <w:tr>
        <w:trPr>
          <w:trHeight w:val="20"/>
        </w:trPr>
        <w:tc>
          <w:tcPr>
            <w:gridSpan w:val="2"/>
            <w:tcBorders/>
            <w:tcW w:w="1549" w:type="dxa"/>
            <w:vAlign w:val="center"/>
            <w:vMerge w:val="restart"/>
            <w:textDirection w:val="lrTb"/>
            <w:noWrap w:val="false"/>
          </w:tcPr>
          <w:p w14:paraId="12144C50">
            <w:pPr>
              <w:pBdr/>
              <w:spacing w:after="40" w:before="40" w:line="288" w:lineRule="auto"/>
              <w:ind/>
              <w:contextualSpacing w:val="true"/>
              <w:rPr>
                <w:bCs/>
                <w:color w:val="000000" w:themeColor="text1"/>
              </w:rPr>
            </w:pPr>
            <w:r>
              <w:rPr>
                <w:bCs/>
                <w:color w:val="000000" w:themeColor="text1"/>
              </w:rPr>
              <w:t xml:space="preserve">Địa chỉ</w:t>
            </w:r>
            <w:r>
              <w:rPr>
                <w:bCs/>
                <w:color w:val="000000" w:themeColor="text1"/>
              </w:rPr>
            </w:r>
          </w:p>
        </w:tc>
        <w:tc>
          <w:tcPr>
            <w:tcBorders/>
            <w:tcW w:w="226" w:type="dxa"/>
            <w:vAlign w:val="center"/>
            <w:vMerge w:val="restart"/>
            <w:textDirection w:val="lrTb"/>
            <w:noWrap w:val="false"/>
          </w:tcPr>
          <w:p w14:paraId="6531E649">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vMerge w:val="restart"/>
            <w:textDirection w:val="lrTb"/>
            <w:noWrap w:val="false"/>
          </w:tcPr>
          <w:p w14:paraId="536A7048">
            <w:pPr>
              <w:pBdr/>
              <w:spacing w:after="40" w:before="40" w:line="288" w:lineRule="auto"/>
              <w:ind/>
              <w:contextualSpacing w:val="true"/>
              <w:rPr>
                <w:b w:val="0"/>
                <w:bCs w:val="0"/>
                <w:color w:val="000000" w:themeColor="text1"/>
              </w:rPr>
            </w:pPr>
            <w:r>
              <w:rPr>
                <w:b w:val="0"/>
                <w:bCs w:val="0"/>
                <w:color w:val="000000" w:themeColor="text1"/>
              </w:rPr>
              <w:t xml:space="preserve"> Tầng 1,2,3 toà nhà 2A Đại Cồ Việt, phường Hai Bà Trưng, thành phố Hà Nội</w:t>
            </w:r>
            <w:r>
              <w:rPr>
                <w:b w:val="0"/>
                <w:bCs w:val="0"/>
                <w:color w:val="000000" w:themeColor="text1"/>
              </w:rPr>
            </w:r>
          </w:p>
        </w:tc>
      </w:tr>
      <w:tr>
        <w:trPr>
          <w:cantSplit/>
          <w:trHeight w:val="20"/>
        </w:trPr>
        <w:tc>
          <w:tcPr>
            <w:gridSpan w:val="2"/>
            <w:tcBorders/>
            <w:tcW w:w="1549" w:type="dxa"/>
            <w:vAlign w:val="center"/>
            <w:textDirection w:val="lrTb"/>
            <w:noWrap w:val="false"/>
          </w:tcPr>
          <w:p w14:paraId="394512AB">
            <w:pPr>
              <w:pBdr/>
              <w:spacing w:after="40" w:before="40" w:line="288" w:lineRule="auto"/>
              <w:ind/>
              <w:contextualSpacing w:val="true"/>
              <w:rPr>
                <w:bCs/>
                <w:color w:val="000000" w:themeColor="text1"/>
              </w:rPr>
            </w:pPr>
            <w:r>
              <w:rPr>
                <w:bCs/>
                <w:color w:val="000000" w:themeColor="text1"/>
              </w:rPr>
            </w:r>
            <w:r>
              <w:rPr>
                <w:rFonts w:ascii="Times New Roman" w:hAnsi="Times New Roman" w:eastAsia="Times New Roman" w:cs="Times New Roman"/>
                <w:color w:val="000000"/>
                <w:sz w:val="24"/>
              </w:rPr>
              <w:t xml:space="preserve">Điện thoại</w:t>
            </w:r>
            <w:r>
              <w:rPr>
                <w:bCs/>
                <w:color w:val="000000" w:themeColor="text1"/>
              </w:rPr>
            </w:r>
            <w:r>
              <w:rPr>
                <w:bCs/>
                <w:color w:val="000000" w:themeColor="text1"/>
              </w:rPr>
            </w:r>
          </w:p>
        </w:tc>
        <w:tc>
          <w:tcPr>
            <w:tcBorders/>
            <w:tcW w:w="226" w:type="dxa"/>
            <w:vAlign w:val="center"/>
            <w:textDirection w:val="lrTb"/>
            <w:noWrap w:val="false"/>
          </w:tcPr>
          <w:p w14:paraId="41E768B2">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75FF33B1" w14:textId="0C45E64C">
            <w:pPr>
              <w:pBdr/>
              <w:spacing w:after="40" w:before="40" w:line="288" w:lineRule="auto"/>
              <w:ind/>
              <w:contextualSpacing w:val="true"/>
              <w:rPr>
                <w:b/>
                <w:bCs/>
                <w:color w:val="000000" w:themeColor="text1"/>
              </w:rPr>
            </w:pPr>
            <w:r>
              <w:rPr>
                <w:rFonts w:ascii="Times New Roman" w:hAnsi="Times New Roman" w:eastAsia="Times New Roman" w:cs="Times New Roman"/>
                <w:i w:val="0"/>
                <w:iCs w:val="0"/>
                <w:color w:val="000000"/>
                <w:sz w:val="24"/>
              </w:rPr>
              <w:t xml:space="preserve">(</w:t>
            </w:r>
            <w:r>
              <w:rPr>
                <w:rFonts w:ascii="Times New Roman" w:hAnsi="Times New Roman" w:eastAsia="Times New Roman" w:cs="Times New Roman"/>
                <w:color w:val="000000"/>
                <w:sz w:val="24"/>
              </w:rPr>
              <w:t xml:space="preserve">024)39432958                             Fax: </w:t>
            </w:r>
            <w:r>
              <w:rPr>
                <w:rFonts w:ascii="Times New Roman" w:hAnsi="Times New Roman" w:eastAsia="Times New Roman" w:cs="Times New Roman"/>
                <w:i w:val="0"/>
                <w:iCs w:val="0"/>
                <w:color w:val="000000"/>
                <w:sz w:val="24"/>
              </w:rPr>
              <w:t xml:space="preserve">(</w:t>
            </w:r>
            <w:r>
              <w:rPr>
                <w:rFonts w:ascii="Times New Roman" w:hAnsi="Times New Roman" w:eastAsia="Times New Roman" w:cs="Times New Roman"/>
                <w:color w:val="000000"/>
                <w:sz w:val="24"/>
              </w:rPr>
              <w:t xml:space="preserve">024)39432958</w:t>
            </w:r>
            <w:r/>
            <w:r>
              <w:rPr>
                <w:rFonts w:ascii="Times New Roman" w:hAnsi="Times New Roman" w:eastAsia="Times New Roman" w:cs="Times New Roman"/>
                <w:color w:val="000000"/>
                <w:sz w:val="24"/>
              </w:rPr>
            </w:r>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14:paraId="3CE4B8DD" w14:textId="77777777">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14:paraId="6D2B7561" w14:textId="77777777">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14:paraId="64A0C33E" w14:textId="2D0C1E91">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14:paraId="05575C2D" w14:textId="77777777">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14:paraId="6C414339" w14:textId="2E99F78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14:paraId="0DC58BB5" w14:textId="08DAF22A">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14:paraId="48F0F82A" w14:textId="77777777">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14:paraId="74BA0ABF" w14:textId="77777777">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14:paraId="580E0A0E"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14:paraId="1F4B0A41"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14:paraId="1A4F9A09"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581858BD"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4EA26052" w14:textId="77777777">
      <w:pPr>
        <w:pStyle w:val="819"/>
        <w:pBdr/>
        <w:spacing/>
        <w:ind/>
        <w:rPr>
          <w:color w:val="000000" w:themeColor="text1"/>
        </w:rPr>
      </w:pP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14:paraId="0E2EB455" w14:textId="77777777">
      <w:pPr>
        <w:pBdr/>
        <w:spacing w:after="120" w:before="120" w:line="312" w:lineRule="auto"/>
        <w:ind w:left="720"/>
        <w:jc w:val="both"/>
        <w:rPr>
          <w:bCs/>
          <w:color w:val="000000"/>
          <w:spacing w:val="-6"/>
        </w:rPr>
      </w:pPr>
      <w:r>
        <w:rPr>
          <w:bCs/>
        </w:rPr>
        <w:t xml:space="preserve">Giấy chứng nhận số DG703095., Số vào sổ cấp GCN CH16892, Nơi cấp UBDN quận 12, Ngày cấp 04/07/2023, Số thửa 560, Tờ bản đồ 16, Địa chỉ trên sổ Phường An Phú Đông</w:t>
      </w:r>
      <w:r>
        <w:rPr>
          <w:bCs/>
        </w:rPr>
        <w:t xml:space="preserve">,, quận 12, TP HCM | Tài sản tại: Phường An Phú Đông,  Quận 12, Thành phố Hồ Chí Minh, khoảng cách ra đường chính Cách đường Võ Thị Liễu khoảng 100m, độ rộng đường trước mặt tài sản 12m, Cách đường Võ Thị Liễu khoảng 100, mặt tiền 6m, 10.859491, 106.697467</w:t>
      </w:r>
      <w:r>
        <w:rPr>
          <w:bCs/>
          <w:color w:val="000000"/>
          <w:spacing w:val="-6"/>
        </w:rPr>
      </w:r>
    </w:p>
    <w:p w14:paraId="0E2EB455" w14:textId="77777777">
      <w:pPr>
        <w:pBdr/>
        <w:spacing w:after="120" w:before="120" w:line="312" w:lineRule="auto"/>
        <w:ind w:left="720"/>
        <w:jc w:val="both"/>
        <w:rPr>
          <w:bCs/>
          <w:color w:val="000000"/>
          <w:spacing w:val="-6"/>
        </w:rPr>
      </w:pPr>
      <w:r>
        <w:rPr>
          <w:bCs/>
        </w:rPr>
        <w:t xml:space="preserve">Giấy chứng nhận số DG703096, Số vào sổ cấp GCN CH16893, Nơi cấp UBND quận 12, Ngày cấp 04/07/2023, Số thửa 561, Tờ bản đồ 16, Địa chỉ trên sổ Phường An Phú Đông</w:t>
      </w:r>
      <w:r>
        <w:rPr>
          <w:bCs/>
        </w:rPr>
        <w:t xml:space="preserve">, quận 12, TP HCM | Tài sản tại: Phường An Phú Đông,  Quận 12, Thành phố Hồ Chí Minh, khoảng cách ra đường chính Cách đường Võ Thị Liễu khoảng 100m, độ rộng đường trước mặt tài sản 12m, Cách đường Võ Thị Liễu khoảng 100m, mặt tiền 6m, 10.859502, 106.697509</w:t>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81.818.182</w:t>
            </w:r>
            <w:r>
              <w:rPr>
                <w:color w:val="000000" w:themeColor="text1"/>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8.181.818</w:t>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90.000.000</w:t>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Chín mươi triệu đồng</w:t>
      </w:r>
      <w:r>
        <w:rPr>
          <w:i/>
          <w:color w:val="000000" w:themeColor="text1"/>
        </w:rPr>
        <w:t xml:space="preserve">)</w:t>
      </w:r>
      <w:r>
        <w:rPr>
          <w:i/>
          <w:color w:val="000000" w:themeColor="text1"/>
        </w:rPr>
        <w:t xml:space="preserve">./.</w:t>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14:paraId="2D76F3E3" w14:textId="0833638D">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14:paraId="3770B9AF" w14:textId="674898EF">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505F3CEF" w14:textId="5AB902DE">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20704130" w14:textId="2B00A5BB">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14:paraId="632B4B5C" w14:textId="40A0930D">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14:paraId="35182FA1" w14:textId="39C301D0">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14:paraId="1D74C53A" w14:textId="77803E69">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14:paraId="03FCA4D0" w14:textId="345317D3">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14:paraId="18ACF544" w14:textId="688A6CE7">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p>
          <w:p w14:paraId="517FE8AE" w14:textId="0961D4AD">
            <w:pPr>
              <w:pBdr/>
              <w:spacing w:line="312" w:lineRule="auto"/>
              <w:ind/>
              <w:jc w:val="center"/>
              <w:rPr>
                <w:b/>
                <w:bCs/>
                <w:color w:val="000000" w:themeColor="text1"/>
              </w:rPr>
            </w:pPr>
            <w:r>
              <w:rPr>
                <w:b/>
                <w:bCs/>
                <w:color w:val="000000" w:themeColor="text1"/>
              </w:rPr>
              <w:t xml:space="preserve">Ông Võ Tiến Sỹ</w:t>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0D41FB3A" w14:textId="374F987E">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p>
    <w:p w14:paraId="584C8806" w14:textId="6FB31976">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14:paraId="3FB163F5" w14:textId="77777777">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14:paraId="5493C6C3" w14:textId="77777777">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Thị Quỳnh Anh</cp:lastModifiedBy>
  <cp:revision>79</cp:revision>
  <dcterms:created xsi:type="dcterms:W3CDTF">2025-09-08T09:51:00Z</dcterms:created>
  <dcterms:modified xsi:type="dcterms:W3CDTF">2026-01-05T08:11:08Z</dcterms:modified>
</cp:coreProperties>
</file>