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z w:val="24"/>
              </w:rPr>
              <w:t xml:space="preserve">275/2025/1778/VFI-HĐTĐ.17.A</w:t>
            </w:r>
            <w:r>
              <w:rPr>
                <w:rFonts w:ascii="Times New Roman" w:hAnsi="Times New Roman" w:eastAsia="Times New Roman" w:cs="Times New Roman"/>
                <w:color w:val="000000"/>
                <w:spacing w:val="-4"/>
                <w:sz w:val="24"/>
              </w:rPr>
              <w:t xml:space="preserve"> </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24" w:type="dxa"/>
        <w:tblW w:w="9864" w:type="dxa"/>
        <w:tblCellMar>
          <w:left w:w="113" w:type="dxa"/>
          <w:right w:w="113" w:type="dxa"/>
        </w:tblCellMar>
        <w:tblBorders/>
        <w:tblLayout w:type="fixed"/>
        <w:tblLook w:val="0000" w:firstRow="0" w:lastRow="0" w:firstColumn="0" w:lastColumn="0" w:noHBand="0" w:noVBand="0"/>
      </w:tblPr>
      <w:tblGrid>
        <w:gridCol w:w="1643"/>
        <w:gridCol w:w="270"/>
        <w:gridCol w:w="7951"/>
      </w:tblGrid>
      <w:tr>
        <w:trPr>
          <w:cantSplit/>
          <w:trHeight w:val="20"/>
        </w:trPr>
        <w:tc>
          <w:tcPr>
            <w:tcBorders/>
            <w:tcW w:w="1643"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TẬP ĐOÀN GIA ĐỊNH</w:t>
            </w:r>
            <w:bookmarkEnd w:id="0"/>
            <w:r>
              <w:rPr>
                <w:b/>
                <w:color w:val="000000" w:themeColor="text1"/>
                <w:spacing w:val="-8"/>
              </w:rPr>
            </w:r>
            <w:r>
              <w:rPr>
                <w:b/>
                <w:color w:val="000000" w:themeColor="text1"/>
                <w:spacing w:val="-8"/>
              </w:rPr>
            </w:r>
          </w:p>
        </w:tc>
      </w:tr>
      <w:tr>
        <w:trPr>
          <w:cantSplit/>
          <w:trHeight w:val="20"/>
        </w:trPr>
        <w:tc>
          <w:tcPr>
            <w:tcBorders/>
            <w:tcW w:w="1643" w:type="dxa"/>
            <w:vAlign w:val="center"/>
            <w:textDirection w:val="lrTb"/>
            <w:noWrap w:val="false"/>
          </w:tcPr>
          <w:p w14:paraId="4E3B2E3B">
            <w:pPr>
              <w:pBdr>
                <w:top w:val="none" w:color="000000" w:sz="4" w:space="0"/>
                <w:left w:val="none" w:color="000000" w:sz="4" w:space="0"/>
                <w:bottom w:val="none" w:color="000000" w:sz="4" w:space="0"/>
                <w:right w:val="none" w:color="000000" w:sz="4" w:space="0"/>
              </w:pBdr>
              <w:spacing w:line="276" w:lineRule="auto"/>
              <w:ind w:right="0" w:firstLine="0" w:left="0"/>
              <w:jc w:val="both"/>
              <w:rPr>
                <w:highlight w:val="white"/>
              </w:rPr>
            </w:pPr>
            <w:r>
              <w:rPr>
                <w:rFonts w:ascii="Times New Roman" w:hAnsi="Times New Roman" w:eastAsia="Times New Roman" w:cs="Times New Roman"/>
                <w:color w:val="000000"/>
                <w:sz w:val="24"/>
                <w:highlight w:val="white"/>
              </w:rPr>
              <w:t xml:space="preserve">Đại diện</w:t>
            </w:r>
            <w:r>
              <w:rPr>
                <w:highlight w:val="white"/>
              </w:rPr>
            </w:r>
            <w:r>
              <w:rPr>
                <w:highlight w:val="white"/>
              </w:rPr>
            </w:r>
          </w:p>
        </w:tc>
        <w:tc>
          <w:tcPr>
            <w:tcBorders/>
            <w:tcW w:w="270" w:type="dxa"/>
            <w:vAlign w:val="center"/>
            <w:textDirection w:val="lrTb"/>
            <w:noWrap w:val="false"/>
          </w:tcPr>
          <w:p w14:paraId="4C288921">
            <w:pPr>
              <w:pBdr>
                <w:top w:val="none" w:color="000000" w:sz="4" w:space="0"/>
                <w:left w:val="none" w:color="000000" w:sz="4" w:space="0"/>
                <w:bottom w:val="none" w:color="000000" w:sz="4" w:space="0"/>
                <w:right w:val="none" w:color="000000" w:sz="4" w:space="0"/>
              </w:pBdr>
              <w:spacing w:line="276" w:lineRule="auto"/>
              <w:ind w:right="0" w:firstLine="0" w:left="0"/>
              <w:jc w:val="center"/>
              <w:rPr>
                <w:highlight w:val="white"/>
              </w:rPr>
            </w:pPr>
            <w:r>
              <w:rPr>
                <w:rFonts w:ascii="Times New Roman" w:hAnsi="Times New Roman" w:eastAsia="Times New Roman" w:cs="Times New Roman"/>
                <w:color w:val="000000"/>
                <w:sz w:val="24"/>
                <w:highlight w:val="white"/>
              </w:rPr>
              <w:t xml:space="preserve">:</w:t>
            </w:r>
            <w:r>
              <w:rPr>
                <w:highlight w:val="white"/>
              </w:rPr>
            </w:r>
            <w:r>
              <w:rPr>
                <w:highlight w:val="white"/>
              </w:rPr>
            </w:r>
          </w:p>
        </w:tc>
        <w:tc>
          <w:tcPr>
            <w:tcBorders/>
            <w:tcW w:w="7951" w:type="dxa"/>
            <w:vAlign w:val="center"/>
            <w:textDirection w:val="lrTb"/>
            <w:noWrap w:val="false"/>
          </w:tcPr>
          <w:p w14:paraId="6D8E616F">
            <w:pPr>
              <w:pBdr>
                <w:top w:val="none" w:color="000000" w:sz="4" w:space="0"/>
                <w:left w:val="none" w:color="000000" w:sz="4" w:space="0"/>
                <w:bottom w:val="none" w:color="000000" w:sz="4" w:space="0"/>
                <w:right w:val="none" w:color="000000" w:sz="4" w:space="0"/>
              </w:pBdr>
              <w:spacing w:line="276" w:lineRule="auto"/>
              <w:ind w:right="0" w:firstLine="0" w:left="0"/>
              <w:jc w:val="both"/>
              <w:rPr>
                <w:highlight w:val="white"/>
              </w:rPr>
            </w:pPr>
            <w:r>
              <w:rPr>
                <w:rFonts w:ascii="Times New Roman" w:hAnsi="Times New Roman" w:eastAsia="Times New Roman" w:cs="Times New Roman"/>
                <w:b/>
                <w:color w:val="000000"/>
                <w:sz w:val="24"/>
                <w:highlight w:val="white"/>
              </w:rPr>
              <w:t xml:space="preserve">Ông Nguyễn Hữu Hạnh </w:t>
            </w:r>
            <w:r>
              <w:rPr>
                <w:highlight w:val="white"/>
              </w:rPr>
            </w:r>
            <w:r>
              <w:rPr>
                <w:highlight w:val="white"/>
              </w:rPr>
            </w:r>
          </w:p>
        </w:tc>
      </w:tr>
      <w:tr>
        <w:trPr>
          <w:cantSplit/>
          <w:trHeight w:val="20"/>
        </w:trPr>
        <w:tc>
          <w:tcPr>
            <w:tcBorders/>
            <w:tcW w:w="1643" w:type="dxa"/>
            <w:vAlign w:val="center"/>
            <w:textDirection w:val="lrTb"/>
            <w:noWrap w:val="false"/>
          </w:tcPr>
          <w:p w14:paraId="77ADB588">
            <w:pPr>
              <w:pBdr>
                <w:top w:val="none" w:color="000000" w:sz="4" w:space="0"/>
                <w:left w:val="none" w:color="000000" w:sz="4" w:space="0"/>
                <w:bottom w:val="none" w:color="000000" w:sz="4" w:space="0"/>
                <w:right w:val="none" w:color="000000" w:sz="4" w:space="0"/>
              </w:pBdr>
              <w:spacing w:line="276" w:lineRule="auto"/>
              <w:ind w:right="0" w:firstLine="0" w:left="0"/>
              <w:jc w:val="both"/>
              <w:rPr>
                <w:highlight w:val="white"/>
              </w:rPr>
            </w:pPr>
            <w:r>
              <w:rPr>
                <w:rFonts w:ascii="Times New Roman" w:hAnsi="Times New Roman" w:eastAsia="Times New Roman" w:cs="Times New Roman"/>
                <w:color w:val="000000"/>
                <w:sz w:val="24"/>
                <w:highlight w:val="white"/>
              </w:rPr>
              <w:t xml:space="preserve">Chức vụ</w:t>
            </w:r>
            <w:r>
              <w:rPr>
                <w:highlight w:val="white"/>
              </w:rPr>
            </w:r>
            <w:r>
              <w:rPr>
                <w:highlight w:val="white"/>
              </w:rPr>
            </w:r>
          </w:p>
        </w:tc>
        <w:tc>
          <w:tcPr>
            <w:tcBorders/>
            <w:tcW w:w="270" w:type="dxa"/>
            <w:vAlign w:val="center"/>
            <w:textDirection w:val="lrTb"/>
            <w:noWrap w:val="false"/>
          </w:tcPr>
          <w:p w14:paraId="4C35F15E">
            <w:pPr>
              <w:pBdr>
                <w:top w:val="none" w:color="000000" w:sz="4" w:space="0"/>
                <w:left w:val="none" w:color="000000" w:sz="4" w:space="0"/>
                <w:bottom w:val="none" w:color="000000" w:sz="4" w:space="0"/>
                <w:right w:val="none" w:color="000000" w:sz="4" w:space="0"/>
              </w:pBdr>
              <w:spacing w:line="276" w:lineRule="auto"/>
              <w:ind w:right="0" w:firstLine="0" w:left="0"/>
              <w:jc w:val="center"/>
              <w:rPr>
                <w:highlight w:val="white"/>
              </w:rPr>
            </w:pPr>
            <w:r>
              <w:rPr>
                <w:rFonts w:ascii="Times New Roman" w:hAnsi="Times New Roman" w:eastAsia="Times New Roman" w:cs="Times New Roman"/>
                <w:color w:val="000000"/>
                <w:sz w:val="24"/>
                <w:highlight w:val="white"/>
              </w:rPr>
              <w:t xml:space="preserve">:</w:t>
            </w:r>
            <w:r>
              <w:rPr>
                <w:highlight w:val="white"/>
              </w:rPr>
            </w:r>
            <w:r>
              <w:rPr>
                <w:highlight w:val="white"/>
              </w:rPr>
            </w:r>
          </w:p>
        </w:tc>
        <w:tc>
          <w:tcPr>
            <w:tcBorders/>
            <w:tcW w:w="7951" w:type="dxa"/>
            <w:vAlign w:val="center"/>
            <w:textDirection w:val="lrTb"/>
            <w:noWrap w:val="false"/>
          </w:tcPr>
          <w:p w14:paraId="025F9D2A">
            <w:pPr>
              <w:pBdr>
                <w:top w:val="none" w:color="000000" w:sz="4" w:space="0"/>
                <w:left w:val="none" w:color="000000" w:sz="4" w:space="0"/>
                <w:bottom w:val="none" w:color="000000" w:sz="4" w:space="0"/>
                <w:right w:val="none" w:color="000000" w:sz="4" w:space="0"/>
              </w:pBdr>
              <w:spacing w:line="276" w:lineRule="auto"/>
              <w:ind w:right="0" w:firstLine="0" w:left="0"/>
              <w:jc w:val="both"/>
              <w:rPr>
                <w:highlight w:val="white"/>
              </w:rPr>
            </w:pPr>
            <w:r>
              <w:rPr>
                <w:rFonts w:ascii="Times New Roman" w:hAnsi="Times New Roman" w:eastAsia="Times New Roman" w:cs="Times New Roman"/>
                <w:b/>
                <w:color w:val="000000"/>
                <w:sz w:val="24"/>
                <w:highlight w:val="white"/>
              </w:rPr>
              <w:t xml:space="preserve">Tổng Giám đốc</w:t>
            </w:r>
            <w:r>
              <w:rPr>
                <w:highlight w:val="white"/>
              </w:rPr>
            </w:r>
            <w:r>
              <w:rPr>
                <w:highlight w:val="white"/>
              </w:rPr>
            </w:r>
          </w:p>
        </w:tc>
      </w:tr>
      <w:tr>
        <w:trPr>
          <w:cantSplit/>
          <w:trHeight w:val="20"/>
        </w:trPr>
        <w:tc>
          <w:tcPr>
            <w:tcBorders/>
            <w:tcW w:w="1643" w:type="dxa"/>
            <w:vAlign w:val="center"/>
            <w:textDirection w:val="lrTb"/>
            <w:noWrap w:val="false"/>
          </w:tcPr>
          <w:p w14:paraId="7ECA78D1">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14:paraId="2B9E60D7">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35E591D7">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Số 122H/2, khu phố 1B, Phường An Phú, thành phố Hồ Chí Minh, Việt Nam</w:t>
            </w:r>
            <w:r/>
          </w:p>
        </w:tc>
      </w:tr>
      <w:tr>
        <w:trPr>
          <w:cantSplit/>
          <w:trHeight w:val="20"/>
        </w:trPr>
        <w:tc>
          <w:tcPr>
            <w:tcBorders/>
            <w:tcW w:w="1643" w:type="dxa"/>
            <w:vAlign w:val="center"/>
            <w:textDirection w:val="lrTb"/>
            <w:noWrap w:val="false"/>
          </w:tcPr>
          <w:p w14:paraId="6F1D79F7">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14:paraId="63EE83CE">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4DB5941F">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Times New Roman" w:hAnsi="Times New Roman" w:eastAsia="Times New Roman" w:cs="Times New Roman"/>
                <w:color w:val="000000"/>
                <w:sz w:val="24"/>
              </w:rPr>
              <w:t xml:space="preserve">3700621181</w:t>
            </w:r>
            <w:r/>
          </w:p>
        </w:tc>
      </w:tr>
      <w:tr>
        <w:trPr>
          <w:cantSplit/>
          <w:trHeight w:val="20"/>
        </w:trPr>
        <w:tc>
          <w:tcPr>
            <w:tcBorders/>
            <w:tcW w:w="1643"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643"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643"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643"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643"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643"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643"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643"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643"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643"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5316CC7"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534, tờ bản đồ số: 53 (tài liệu đo năm 2003) có địa chỉ: Phường Thảo Điền, thành phố Hồ Chí Minh (nay là Phường An Khánh, thành phố Hồ Chí Minh) theo Giấy chứng nhận Quyền sử dụng đất, quyền sở</w:t>
      </w:r>
      <w:r>
        <w:rPr>
          <w:rFonts w:ascii="Times New Roman" w:hAnsi="Times New Roman" w:eastAsia="Times New Roman" w:cs="Times New Roman"/>
          <w:color w:val="000000"/>
          <w:sz w:val="24"/>
        </w:rPr>
        <w:t xml:space="preserve"> hữu nhà ở và tài sản khác gắn liền với đất số: CM 296923, số vào sổ cấp GCN: CS 03907 do Sở Tài nguyên và Môi trường Thành phố Hồ Chí Minh cấp ngày 15/11/2018. Chủ sử dụng đất là ông Nguyễn Chí Trung và bà Lê Thị Việt Nghĩa.</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highlight w:val="none"/>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793E4B88">
      <w:pPr>
        <w:pBdr/>
        <w:spacing w:after="120" w:before="120" w:line="312" w:lineRule="auto"/>
        <w:ind w:left="720"/>
        <w:jc w:val="both"/>
        <w:rPr>
          <w:color w:val="000000" w:themeColor="text1"/>
        </w:rPr>
      </w:pPr>
      <w:r>
        <w:rPr>
          <w:color w:val="000000" w:themeColor="text1"/>
        </w:rPr>
      </w:r>
      <w:r>
        <w:rPr>
          <w:color w:val="000000" w:themeColor="text1"/>
        </w:rPr>
      </w:r>
      <w:r>
        <w:rPr>
          <w:color w:val="000000" w:themeColor="text1"/>
        </w:rPr>
      </w:r>
    </w:p>
    <w:p w14:paraId="3FC15213">
      <w:pPr>
        <w:pBdr/>
        <w:spacing w:after="120" w:before="120" w:line="312" w:lineRule="auto"/>
        <w:ind w:left="720"/>
        <w:jc w:val="both"/>
        <w:rPr>
          <w:color w:val="000000" w:themeColor="text1"/>
        </w:rPr>
      </w:pPr>
      <w:r>
        <w:rPr>
          <w:color w:val="000000" w:themeColor="text1"/>
          <w:highlight w:val="none"/>
        </w:rPr>
      </w:r>
      <w:r>
        <w:rPr>
          <w:color w:val="000000" w:themeColor="text1"/>
          <w:highlight w:val="none"/>
        </w:rPr>
      </w:r>
      <w:r>
        <w:rPr>
          <w:color w:val="000000" w:themeColor="text1"/>
          <w:highlight w:val="none"/>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30.000.000</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2.400.000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32.400.000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hai triệu bốn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7A3E8CCC" w14:textId="5EC5424F">
            <w:pPr>
              <w:pBdr/>
              <w:spacing w:line="312" w:lineRule="auto"/>
              <w:ind/>
              <w:jc w:val="center"/>
              <w:rPr>
                <w:b/>
                <w:bCs/>
                <w:color w:val="000000" w:themeColor="text1"/>
                <w:highlight w:val="none"/>
              </w:rPr>
            </w:pPr>
            <w:r>
              <w:rPr>
                <w:b/>
                <w:bCs/>
                <w:color w:val="000000" w:themeColor="text1"/>
              </w:rPr>
              <w:t xml:space="preserve">CÔNG TY CP TẬP ĐOÀN GIA ĐỊNH</w:t>
            </w:r>
            <w:r>
              <w:rPr>
                <w:b/>
                <w:bCs/>
                <w:color w:val="000000" w:themeColor="text1"/>
                <w:highlight w:val="none"/>
              </w:rPr>
            </w:r>
          </w:p>
          <w:p w14:paraId="5D0C5B79">
            <w:pPr>
              <w:pBdr/>
              <w:spacing w:line="312" w:lineRule="auto"/>
              <w:ind/>
              <w:jc w:val="center"/>
              <w:rPr>
                <w:b/>
                <w:bCs/>
                <w:color w:val="000000" w:themeColor="text1"/>
                <w:highlight w:val="none"/>
              </w:rPr>
            </w:pPr>
            <w:r>
              <w:rPr>
                <w:b/>
                <w:bCs/>
                <w:color w:val="000000" w:themeColor="text1"/>
                <w:highlight w:val="none"/>
              </w:rPr>
              <w:t xml:space="preserve">Tổng Giám đốc</w:t>
            </w:r>
            <w:r>
              <w:rPr>
                <w:b/>
                <w:bCs/>
                <w:color w:val="000000" w:themeColor="text1"/>
                <w:highlight w:val="none"/>
              </w:rPr>
            </w:r>
            <w:r>
              <w:rPr>
                <w:b/>
                <w:bCs/>
                <w:color w:val="000000" w:themeColor="text1"/>
                <w:highlight w:val="none"/>
              </w:rPr>
            </w:r>
          </w:p>
          <w:p w14:paraId="70DE713D">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637420">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B8A909C">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BDF95EA">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E99D35">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DD3421">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5A0A345">
            <w:pPr>
              <w:pBdr/>
              <w:spacing w:line="312" w:lineRule="auto"/>
              <w:ind/>
              <w:jc w:val="center"/>
              <w:rPr>
                <w:b/>
                <w:bCs/>
                <w:color w:val="000000" w:themeColor="text1"/>
              </w:rPr>
            </w:pPr>
            <w:r>
              <w:rPr>
                <w:b/>
                <w:bCs/>
                <w:color w:val="000000" w:themeColor="text1"/>
                <w:highlight w:val="none"/>
              </w:rPr>
            </w:r>
            <w:r>
              <w:rPr>
                <w:rFonts w:ascii="Times New Roman" w:hAnsi="Times New Roman" w:eastAsia="Times New Roman" w:cs="Times New Roman"/>
                <w:b/>
                <w:color w:val="000000"/>
                <w:sz w:val="24"/>
                <w:highlight w:val="white"/>
              </w:rPr>
              <w:t xml:space="preserve">Nguyễn Hữu Hạnh</w:t>
            </w:r>
            <w:r>
              <w:rPr>
                <w:b/>
                <w:bCs/>
                <w:color w:val="000000" w:themeColor="text1"/>
                <w:highlight w:val="none"/>
              </w:rPr>
            </w:r>
            <w:r>
              <w:rPr>
                <w:b/>
                <w:bCs/>
                <w:color w:val="000000" w:themeColor="text1"/>
                <w:highlight w:val="none"/>
              </w:rPr>
            </w:r>
            <w:r>
              <w:rPr>
                <w:b/>
                <w:bCs/>
                <w:color w:val="000000" w:themeColor="text1"/>
                <w:highlight w:val="none"/>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18637CBD">
            <w:pPr>
              <w:keepNext w:val="true"/>
              <w:pBdr/>
              <w:spacing w:after="40" w:before="40" w:line="288" w:lineRule="auto"/>
              <w:ind/>
              <w:contextualSpacing w:val="true"/>
              <w:jc w:val="center"/>
              <w:outlineLvl w:val="0"/>
              <w:rPr>
                <w:b/>
                <w:bCs/>
                <w:color w:val="000000" w:themeColor="text1"/>
                <w:highlight w:val="none"/>
              </w:rPr>
            </w:pPr>
            <w:r>
              <w:rPr>
                <w:b/>
                <w:color w:val="000000" w:themeColor="text1"/>
              </w:rPr>
              <w:t xml:space="preserve">CÔNG TY CP THẨM ĐỊNH VÀ ĐẦU TƯ TÀI CHÍNH HOA SEN</w:t>
            </w:r>
            <w:r>
              <w:rPr>
                <w:b/>
                <w:color w:val="000000" w:themeColor="text1"/>
              </w:rPr>
            </w:r>
          </w:p>
          <w:p w14:paraId="6757ACA5">
            <w:pPr>
              <w:keepNext w:val="true"/>
              <w:pBdr/>
              <w:spacing w:after="40" w:before="40" w:line="288" w:lineRule="auto"/>
              <w:ind/>
              <w:contextualSpacing w:val="true"/>
              <w:jc w:val="center"/>
              <w:outlineLvl w:val="0"/>
              <w:rPr>
                <w:b/>
                <w:bCs/>
                <w:color w:val="000000" w:themeColor="text1"/>
              </w:rPr>
            </w:pPr>
            <w:r>
              <w:rPr>
                <w:b/>
                <w:color w:val="000000" w:themeColor="text1"/>
                <w:highlight w:val="none"/>
              </w:rPr>
              <w:t xml:space="preserve">Chủ tịch HĐQT kiêm Tổng Giám đốc</w:t>
            </w:r>
            <w:r>
              <w:rPr>
                <w:b/>
                <w:color w:val="000000" w:themeColor="text1"/>
                <w:highlight w:val="none"/>
              </w:rPr>
            </w:r>
            <w:r>
              <w:rPr>
                <w:b/>
                <w:color w:val="000000" w:themeColor="text1"/>
                <w:highlight w:val="none"/>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CB839B5">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HSTD-20251222-0003/HĐTĐ-VFI-01</w:t>
      </w:r>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HSTD-20251222-0003/HĐTĐ-VFI </w:t>
      </w:r>
      <w:r>
        <w:rPr>
          <w:color w:val="000000" w:themeColor="text1"/>
        </w:rPr>
        <w:t xml:space="preserve">đã ký </w:t>
      </w:r>
      <w:r>
        <w:rPr>
          <w:color w:val="000000" w:themeColor="text1"/>
        </w:rPr>
        <w:t xml:space="preserve">ngày 8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TẬP ĐOÀN GIA ĐỊNH</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HSTD-20251222-0003/HĐTĐ-VFI-01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HSTD-20251222-0003/HĐTĐ-VFI </w:t>
      </w:r>
      <w:r>
        <w:rPr>
          <w:i/>
          <w:iCs/>
          <w:color w:val="000000" w:themeColor="text1"/>
        </w:rPr>
        <w:t xml:space="preserve">,</w:t>
      </w:r>
      <w:r>
        <w:rPr>
          <w:i/>
          <w:iCs/>
          <w:color w:val="000000" w:themeColor="text1"/>
        </w:rPr>
        <w:t xml:space="preserve">ngày 8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HSTD-20251222-0003/HĐTĐ-VFI</w:t>
      </w:r>
      <w:r>
        <w:rPr>
          <w:b/>
          <w:bCs/>
          <w:color w:val="000000" w:themeColor="text1"/>
        </w:rPr>
        <w:t xml:space="preserve"> đã ký </w:t>
      </w:r>
      <w:r>
        <w:rPr>
          <w:b/>
          <w:bCs/>
          <w:color w:val="000000" w:themeColor="text1"/>
        </w:rPr>
        <w:t xml:space="preserve">ngày 8 tháng 12 năm 2025</w:t>
      </w:r>
      <w:r>
        <w:rPr>
          <w:b/>
          <w:bCs/>
          <w:color w:val="000000" w:themeColor="text1"/>
        </w:rPr>
        <w:t xml:space="preserve"> như sau:</w:t>
      </w:r>
      <w:r>
        <w:rPr>
          <w:b/>
          <w:bCs/>
          <w:color w:val="000000" w:themeColor="text1"/>
        </w:rPr>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24E47B3"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0C5B5C1"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45A405DC"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20650EF8"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A693762"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FA707F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55E8840A" w14:textId="66923CBE">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0862CB85"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HSTD-20251222-0003/HĐTĐ-VFI đã ký ngày 8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FEC3A0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HSTD-20251222-0003/HĐTĐ-VFI</w:t>
      </w:r>
      <w:r>
        <w:rPr>
          <w:color w:val="000000" w:themeColor="text1"/>
        </w:rPr>
      </w:r>
      <w:r>
        <w:rPr>
          <w:color w:val="000000" w:themeColor="text1"/>
        </w:rPr>
      </w:r>
    </w:p>
    <w:p w14:paraId="257FD33E" w14:textId="38613061">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38DEB40C" w14:textId="6D87217B">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HSTD-20251222-0003/HĐTĐ-VFI</w:t>
      </w:r>
      <w:r>
        <w:rPr>
          <w:color w:val="000000" w:themeColor="text1"/>
        </w:rPr>
        <w:t xml:space="preserve"> và có giá trị kể từ ngày ký</w:t>
      </w:r>
      <w:r>
        <w:rPr>
          <w:color w:val="000000" w:themeColor="text1"/>
        </w:rPr>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CÔNG TY CỔ PHẦN TẬP ĐOÀN GIA ĐỊNH</w:t>
            </w:r>
            <w:r>
              <w:rPr>
                <w:b/>
                <w:bCs/>
                <w:color w:val="000000" w:themeColor="text1"/>
              </w:rPr>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70</cp:revision>
  <dcterms:created xsi:type="dcterms:W3CDTF">2025-09-08T09:51:00Z</dcterms:created>
  <dcterms:modified xsi:type="dcterms:W3CDTF">2025-12-24T02:37:32Z</dcterms:modified>
</cp:coreProperties>
</file>