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14:paraId="1292C96E" w14:textId="77777777">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14:paraId="2446406D" w14:textId="77777777">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14:paraId="362269AB" w14:textId="77777777">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14:paraId="6C85E23A" w14:textId="31D826DC">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i/>
                <w:iCs/>
                <w:color w:val="081b3a"/>
                <w:spacing w:val="3"/>
                <w:sz w:val="24"/>
                <w:szCs w:val="24"/>
                <w:highlight w:val="white"/>
              </w:rPr>
              <w:t xml:space="preserve">275/2026/0009/VFI-HĐTĐ.17.A</w:t>
            </w:r>
            <w:r>
              <w:rPr>
                <w:color w:val="000000" w:themeColor="text1"/>
              </w:rPr>
            </w:r>
            <w:r>
              <w:rPr>
                <w:color w:val="000000" w:themeColor="text1"/>
              </w:rPr>
            </w:r>
          </w:p>
        </w:tc>
        <w:tc>
          <w:tcPr>
            <w:tcBorders/>
            <w:tcW w:w="5700" w:type="dxa"/>
            <w:vAlign w:val="center"/>
            <w:textDirection w:val="lrTb"/>
            <w:noWrap w:val="false"/>
          </w:tcPr>
          <w:p w14:paraId="6744C92C" w14:textId="0846D262">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 tháng 1 năm 2026</w:t>
            </w:r>
            <w:r>
              <w:rPr>
                <w:i/>
                <w:iCs/>
                <w:color w:val="000000" w:themeColor="text1"/>
              </w:rPr>
            </w:r>
            <w:r>
              <w:rPr>
                <w:i/>
                <w:iCs/>
                <w:color w:val="000000" w:themeColor="text1"/>
              </w:rPr>
            </w:r>
          </w:p>
        </w:tc>
      </w:tr>
    </w:tbl>
    <w:p w14:paraId="2C741FC5" w14:textId="77777777">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14:paraId="7DF3882D" w14:textId="19D0F73F">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14:paraId="02BC2EB9" w14:textId="77777777">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14:paraId="7DB76870"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14:paraId="013285D9" w14:textId="36B94C78">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14:paraId="0A45960D" w14:textId="423747D6">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14:paraId="16E2C997" w14:textId="77777777">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14:paraId="4C94F032" w14:textId="67B0D2DE">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14:paraId="390E5DB2" w14:textId="77777777">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54307E1" w14:textId="77777777">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4791F637"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59F6DA7" w14:textId="3CA5AB44">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NGUYỄN LỆ THANH</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47B702AD" w14:textId="3DC26743">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52EE7299"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20AF49ED" w14:textId="531E65B2">
            <w:pPr>
              <w:pBdr/>
              <w:spacing w:after="40" w:before="40" w:line="288" w:lineRule="auto"/>
              <w:ind/>
              <w:contextualSpacing w:val="true"/>
              <w:rPr>
                <w:bCs/>
                <w:color w:val="000000" w:themeColor="text1"/>
                <w:lang w:val="vi-VN"/>
              </w:rPr>
            </w:pPr>
            <w:r>
              <w:rPr>
                <w:color w:val="000000" w:themeColor="text1"/>
              </w:rPr>
              <w:t xml:space="preserve">036163007791</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E6458EB" w14:textId="3E314D93">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5AB40503"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47313588" w14:textId="5B7D3557">
            <w:pPr>
              <w:pBdr/>
              <w:spacing w:after="40" w:before="40" w:line="288" w:lineRule="auto"/>
              <w:ind/>
              <w:contextualSpacing w:val="true"/>
              <w:rPr>
                <w:bCs/>
                <w:color w:val="000000" w:themeColor="text1"/>
              </w:rPr>
            </w:pPr>
            <w:r>
              <w:rPr>
                <w:color w:val="000000" w:themeColor="text1"/>
                <w:lang w:val="vi-VN"/>
              </w:rPr>
              <w:t xml:space="preserve">Số 9 ngách 29/12 phố Khương Hạ, phường Khương Đình, thành phố Hà Nội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37C8633"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3B354000"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04E50D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4A89E7D5"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78FB324"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4ED840F9" w14:textId="6D3A83BE">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3C6FA49A"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220A83CF"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086F6A34" w14:textId="3CA3A09B">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737E41FF"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4DB6D9C2"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7ACCC6B5" w14:textId="0D1652A5">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3F8DEAC0"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42739886"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7AF1F2C" w14:textId="1298AF55">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2D107304"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6B193053"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05FD21E"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7C642BF7"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29F798BF"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AAB8E29" w14:textId="72F98D37">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14:paraId="4C06F095"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414862D7"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1049C5D" w14:textId="3AC859B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14:paraId="1BCFD7F5" w14:textId="0458528A">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14:paraId="0F9C8DCD" w14:textId="5C60313A">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03F8A301" w14:textId="714D664B">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bl>
    <w:p w14:paraId="5026A2F4" w14:textId="77777777">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14:paraId="75464DC5" w14:textId="50598465">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14:paraId="25226452" w14:textId="77777777">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14:paraId="26B804EF" w14:textId="69C72312">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3CE4B8DD" w14:textId="77777777">
      <w:pPr>
        <w:pStyle w:val="1036"/>
        <w:pBdr/>
        <w:spacing/>
        <w:ind/>
        <w:jc w:val="both"/>
        <w:rPr>
          <w:rFonts w:ascii="Times New Roman" w:hAnsi="Times New Roman" w:cs="Times New Roman"/>
          <w:b/>
          <w:color w:val="000000" w:themeColor="text1"/>
          <w:sz w:val="14"/>
          <w:szCs w:val="1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14"/>
          <w:szCs w:val="14"/>
        </w:rPr>
      </w:r>
      <w:r>
        <w:rPr>
          <w:rFonts w:ascii="Times New Roman" w:hAnsi="Times New Roman" w:cs="Times New Roman"/>
          <w:b/>
          <w:color w:val="000000" w:themeColor="text1"/>
          <w:sz w:val="14"/>
          <w:szCs w:val="14"/>
        </w:rPr>
      </w:r>
    </w:p>
    <w:p w14:paraId="6467621A" w14:textId="2467243A">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14:paraId="6D2B7561" w14:textId="77777777">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A2AC46D" w14:textId="5693C2E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4A0C33E" w14:textId="2D0C1E91">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5575C2D" w14:textId="77777777">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C414339" w14:textId="2E99F788">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0DC58BB5" w14:textId="08DAF22A">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8F0F82A" w14:textId="77777777">
      <w:pPr>
        <w:pStyle w:val="1036"/>
        <w:pBdr/>
        <w:spacing/>
        <w:ind w:left="360"/>
        <w:jc w:val="both"/>
        <w:rPr>
          <w:rFonts w:ascii="Times New Roman" w:hAnsi="Times New Roman" w:cs="Times New Roman"/>
          <w:b/>
          <w:color w:val="000000" w:themeColor="text1"/>
          <w:sz w:val="16"/>
          <w:szCs w:val="16"/>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16"/>
          <w:szCs w:val="16"/>
        </w:rPr>
      </w:r>
      <w:r>
        <w:rPr>
          <w:rFonts w:ascii="Times New Roman" w:hAnsi="Times New Roman" w:cs="Times New Roman"/>
          <w:b/>
          <w:color w:val="000000" w:themeColor="text1"/>
          <w:sz w:val="16"/>
          <w:szCs w:val="16"/>
        </w:rPr>
      </w:r>
    </w:p>
    <w:p w14:paraId="3EB6C7AE" w14:textId="062BA812">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14:paraId="74BA0ABF" w14:textId="77777777">
      <w:pPr>
        <w:pStyle w:val="1036"/>
        <w:pBdr/>
        <w:spacing/>
        <w:ind w:left="720"/>
        <w:jc w:val="both"/>
        <w:rPr>
          <w:rFonts w:ascii="Times New Roman" w:hAnsi="Times New Roman" w:cs="Times New Roman"/>
          <w:b/>
          <w:color w:val="000000" w:themeColor="text1"/>
          <w:sz w:val="16"/>
          <w:szCs w:val="16"/>
        </w:rPr>
      </w:pPr>
      <w:r>
        <w:rPr>
          <w:rFonts w:ascii="Times New Roman" w:hAnsi="Times New Roman" w:cs="Times New Roman"/>
          <w:b/>
          <w:color w:val="000000" w:themeColor="text1"/>
          <w:sz w:val="16"/>
          <w:szCs w:val="16"/>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16"/>
          <w:szCs w:val="16"/>
        </w:rPr>
      </w:r>
    </w:p>
    <w:p w14:paraId="6F743479" w14:textId="3BE88650">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0E0A0E"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2DA49DEB" w14:textId="50DD143D">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F4B0A41"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68979582" w14:textId="3279F012">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1A4F9A09"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7AD4FDC5" w14:textId="523D8166">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581858BD" w14:textId="77777777">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39113356" w14:textId="012EC38E">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14:paraId="4EA26052" w14:textId="77777777">
      <w:pPr>
        <w:pStyle w:val="1000"/>
        <w:pBdr/>
        <w:spacing/>
        <w:ind/>
        <w:rPr>
          <w:color w:val="000000" w:themeColor="text1"/>
        </w:rPr>
      </w:pPr>
      <w:r>
        <w:rPr>
          <w:color w:val="000000" w:themeColor="text1"/>
        </w:rPr>
      </w:r>
      <w:r>
        <w:rPr>
          <w:color w:val="000000" w:themeColor="text1"/>
        </w:rPr>
      </w:r>
      <w:r>
        <w:rPr>
          <w:color w:val="000000" w:themeColor="text1"/>
        </w:rPr>
      </w:r>
    </w:p>
    <w:p w14:paraId="336F6B0B" w14:textId="1B107E86">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14:paraId="66425195" w14:textId="5C78317D">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14:paraId="0E2EB455" w14:textId="77777777">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pacing w:val="-6"/>
          <w:sz w:val="24"/>
        </w:rPr>
        <w:t xml:space="preserve">Quyền sử dụng đất tại thửa đất số: 72, tờ bản đồ số: 58 có địa chỉ: Số 9, ngách 29/1</w:t>
      </w:r>
      <w:r>
        <w:rPr>
          <w:rFonts w:ascii="Times New Roman" w:hAnsi="Times New Roman" w:eastAsia="Times New Roman" w:cs="Times New Roman"/>
          <w:color w:val="000000"/>
          <w:spacing w:val="-6"/>
          <w:sz w:val="24"/>
        </w:rPr>
        <w:t xml:space="preserve">2 phố Khương Hạ, phường Khương Đình, quận Thanh Xuân, thành phố Hà Nội (Nay là  phường Khương Đình, Thành phố Hà Nội) theo Giấy chứng nhận quyền sử dụng đất quyền sở hữu nhà ở và tài sản khác gắn liền với đất số: DC 400565, số vào sổ cấp GCN: CS – TX 18523</w:t>
      </w:r>
      <w:r>
        <w:rPr>
          <w:rFonts w:ascii="Times New Roman" w:hAnsi="Times New Roman" w:eastAsia="Times New Roman" w:cs="Times New Roman"/>
          <w:color w:val="000000"/>
          <w:spacing w:val="-6"/>
          <w:sz w:val="24"/>
        </w:rPr>
        <w:t xml:space="preserve"> do Sở Tài nguyên và Môi trường Hà Nội cấp ngày 04/03/2022 cho bà Nguyễn Lệ Thanh.</w:t>
      </w:r>
      <w:r>
        <w:rPr>
          <w:bCs/>
          <w:color w:val="000000"/>
          <w:spacing w:val="-6"/>
        </w:rPr>
      </w:r>
      <w:r>
        <w:rPr>
          <w:bCs/>
          <w:color w:val="000000"/>
          <w:spacing w:val="-6"/>
        </w:rPr>
      </w:r>
    </w:p>
    <w:p w14:paraId="4F3BF146" w14:textId="16D8DC9B">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14:paraId="49A3DE93" w14:textId="0EA164DB">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14:paraId="2E9E8692" w14:textId="516EEA6F">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14:paraId="36EDC98A" w14:textId="23B7820A">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r>
        <w:rPr>
          <w:color w:val="000000" w:themeColor="text1"/>
        </w:rPr>
      </w:r>
    </w:p>
    <w:p w14:paraId="5B597DFC" w14:textId="77777777">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14:paraId="134317FF" w14:textId="2315EFD2">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14:paraId="0FFC5740" w14:textId="77777777">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14:paraId="5EABDBE9" w14:textId="4C8CBBF6">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14:paraId="02205330" w14:textId="512A04F7">
      <w:pPr>
        <w:pBdr/>
        <w:spacing w:after="120" w:before="120" w:line="312" w:lineRule="auto"/>
        <w:ind w:left="709"/>
        <w:jc w:val="both"/>
        <w:rPr>
          <w:b/>
          <w:bCs/>
          <w:color w:val="000000" w:themeColor="text1"/>
          <w:spacing w:val="-8"/>
          <w:highlight w:val="none"/>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14:paraId="3AFE3D49">
      <w:pPr>
        <w:pBdr/>
        <w:spacing w:after="120" w:before="120" w:line="312" w:lineRule="auto"/>
        <w:ind w:left="709"/>
        <w:jc w:val="both"/>
        <w:rPr>
          <w:b/>
          <w:bCs/>
          <w:color w:val="000000" w:themeColor="text1"/>
          <w:spacing w:val="-8"/>
          <w:lang w:val="pt-BR"/>
        </w:rPr>
      </w:pPr>
      <w:r>
        <w:rPr>
          <w:b/>
          <w:bCs/>
          <w:color w:val="000000" w:themeColor="text1"/>
          <w:spacing w:val="-8"/>
          <w:lang w:val="pt-BR"/>
        </w:rPr>
      </w:r>
      <w:r>
        <w:rPr>
          <w:b/>
          <w:bCs/>
          <w:color w:val="000000" w:themeColor="text1"/>
          <w:spacing w:val="-8"/>
          <w:lang w:val="pt-BR"/>
        </w:rPr>
      </w:r>
      <w:r>
        <w:rPr>
          <w:b/>
          <w:bCs/>
          <w:color w:val="000000" w:themeColor="text1"/>
          <w:spacing w:val="-8"/>
          <w:lang w:val="pt-BR"/>
        </w:rPr>
      </w:r>
    </w:p>
    <w:p w14:paraId="59C3638A">
      <w:pPr>
        <w:pBdr/>
        <w:spacing w:after="120" w:before="120" w:line="312" w:lineRule="auto"/>
        <w:ind w:left="709"/>
        <w:jc w:val="both"/>
        <w:rPr>
          <w:b/>
          <w:bCs/>
          <w:color w:val="000000" w:themeColor="text1"/>
          <w:spacing w:val="-8"/>
          <w:lang w:val="pt-BR"/>
        </w:rPr>
      </w:pPr>
      <w:r>
        <w:rPr>
          <w:b/>
          <w:bCs/>
          <w:color w:val="000000" w:themeColor="text1"/>
          <w:spacing w:val="-8"/>
          <w:highlight w:val="none"/>
          <w:lang w:val="pt-BR" w:bidi="pt-BR"/>
        </w:rPr>
      </w:r>
      <w:r>
        <w:rPr>
          <w:b/>
          <w:bCs/>
          <w:color w:val="000000" w:themeColor="text1"/>
          <w:spacing w:val="-8"/>
          <w:highlight w:val="none"/>
          <w:lang w:val="pt-BR" w:bidi="pt-BR"/>
        </w:rPr>
      </w:r>
      <w:r>
        <w:rPr>
          <w:b/>
          <w:bCs/>
          <w:color w:val="000000" w:themeColor="text1"/>
          <w:spacing w:val="-8"/>
          <w:highlight w:val="none"/>
          <w:lang w:val="pt-BR"/>
        </w:rPr>
      </w:r>
    </w:p>
    <w:p w14:paraId="2D240E3D" w14:textId="3E4E3612">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14:paraId="21787220" w14:textId="77777777">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14:paraId="24BF03C7"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14:paraId="4F00AE14" w14:textId="77777777">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14:paraId="2291A14B" w14:textId="37CD9864">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14:paraId="47E59249"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4D29E4C4" w14:textId="118D461E">
            <w:pPr>
              <w:pBdr/>
              <w:spacing w:line="312" w:lineRule="auto"/>
              <w:ind/>
              <w:jc w:val="right"/>
              <w:rPr>
                <w:color w:val="000000" w:themeColor="text1"/>
              </w:rPr>
            </w:pPr>
            <w:r>
              <w:rPr>
                <w:color w:val="000000" w:themeColor="text1"/>
              </w:rPr>
              <w:t xml:space="preserve">5.092.593</w:t>
            </w:r>
            <w:r>
              <w:rPr>
                <w:color w:val="000000" w:themeColor="text1"/>
              </w:rPr>
            </w:r>
            <w:r>
              <w:rPr>
                <w:color w:val="000000" w:themeColor="text1"/>
              </w:rPr>
            </w:r>
          </w:p>
        </w:tc>
      </w:tr>
      <w:tr>
        <w:trPr>
          <w:jc w:val="center"/>
        </w:trPr>
        <w:tc>
          <w:tcPr>
            <w:tcBorders/>
            <w:tcW w:w="2822" w:type="dxa"/>
            <w:vAlign w:val="center"/>
            <w:textDirection w:val="lrTb"/>
            <w:noWrap w:val="false"/>
          </w:tcPr>
          <w:p w14:paraId="6054CB29" w14:textId="6E341EF4">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r>
              <w:rPr>
                <w:color w:val="000000" w:themeColor="text1"/>
              </w:rPr>
            </w:r>
          </w:p>
        </w:tc>
        <w:tc>
          <w:tcPr>
            <w:tcBorders/>
            <w:tcW w:w="296" w:type="dxa"/>
            <w:textDirection w:val="lrTb"/>
            <w:noWrap w:val="false"/>
          </w:tcPr>
          <w:p w14:paraId="3002DDCE" w14:textId="77777777">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14:paraId="7903EF9D" w14:textId="7893E48A">
            <w:pPr>
              <w:pBdr/>
              <w:spacing w:line="312" w:lineRule="auto"/>
              <w:ind/>
              <w:jc w:val="right"/>
              <w:rPr>
                <w:color w:val="000000" w:themeColor="text1"/>
              </w:rPr>
            </w:pPr>
            <w:r>
              <w:rPr>
                <w:color w:val="000000" w:themeColor="text1"/>
              </w:rPr>
              <w:t xml:space="preserve">407.407</w:t>
            </w:r>
            <w:r>
              <w:rPr>
                <w:color w:val="000000" w:themeColor="text1"/>
              </w:rPr>
            </w:r>
            <w:r>
              <w:rPr>
                <w:color w:val="000000" w:themeColor="text1"/>
              </w:rPr>
            </w:r>
          </w:p>
        </w:tc>
      </w:tr>
      <w:tr>
        <w:trPr>
          <w:jc w:val="center"/>
        </w:trPr>
        <w:tc>
          <w:tcPr>
            <w:tcBorders/>
            <w:tcW w:w="2822" w:type="dxa"/>
            <w:textDirection w:val="lrTb"/>
            <w:noWrap w:val="false"/>
          </w:tcPr>
          <w:p w14:paraId="1FFFE722" w14:textId="77777777">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14:paraId="3752CAFC" w14:textId="77777777">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14:paraId="7E41F1E5" w14:textId="452269C2">
            <w:pPr>
              <w:pBdr/>
              <w:spacing w:line="312" w:lineRule="auto"/>
              <w:ind/>
              <w:jc w:val="right"/>
              <w:rPr>
                <w:b/>
                <w:bCs/>
                <w:i/>
                <w:iCs/>
                <w:color w:val="000000" w:themeColor="text1"/>
              </w:rPr>
            </w:pPr>
            <w:r>
              <w:rPr>
                <w:b/>
                <w:color w:val="000000" w:themeColor="text1"/>
              </w:rPr>
              <w:t xml:space="preserve">5.500.000</w:t>
            </w:r>
            <w:r>
              <w:rPr>
                <w:b/>
                <w:bCs/>
                <w:i/>
                <w:iCs/>
                <w:color w:val="000000" w:themeColor="text1"/>
              </w:rPr>
            </w:r>
            <w:r>
              <w:rPr>
                <w:b/>
                <w:bCs/>
                <w:i/>
                <w:iCs/>
                <w:color w:val="000000" w:themeColor="text1"/>
              </w:rPr>
            </w:r>
          </w:p>
        </w:tc>
      </w:tr>
    </w:tbl>
    <w:p w14:paraId="3AD8F37E" w14:textId="5C11852B">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Năm triệu năm trăm nghìn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14:paraId="30020B15" w14:textId="77777777">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14:paraId="61959818" w14:textId="55CD0995">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14:paraId="596FE418" w14:textId="097ED3F2">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14:paraId="348E40CA" w14:textId="77777777">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14:paraId="0EE21594" w14:textId="77777777">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14:paraId="33B4053C" w14:textId="703240B2">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14:paraId="41782CB1" w14:textId="06CDD3D5">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14:paraId="2D76F3E3" w14:textId="0833638D">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14:paraId="3770B9AF" w14:textId="674898EF">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505F3CEF" w14:textId="5AB902DE">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20704130" w14:textId="2B00A5BB">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126279DA" w14:textId="77DDBBA9">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14:paraId="66E964AD" w14:textId="371A6D2C">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14:paraId="22C841CD" w14:textId="3E30D571">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14:paraId="77912019" w14:textId="4C87DC23">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14:paraId="7EFCB523" w14:textId="1314FECA">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14:paraId="2D3D6205" w14:textId="5FD86771">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r>
        <w:rPr>
          <w:color w:val="000000" w:themeColor="text1"/>
        </w:rPr>
      </w:r>
    </w:p>
    <w:p w14:paraId="13A732DC" w14:textId="6FFDC116">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14:paraId="141C305F" w14:textId="10F88A5C">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14:paraId="77A04B68" w14:textId="64A4F8C5">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14:paraId="15895BFE" w14:textId="20419407">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14:paraId="2CBF6F30" w14:textId="54714331">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14:paraId="519ACAF5" w14:textId="68BB061B">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14:paraId="3A68EEDF" w14:textId="25BD496D">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14:paraId="6BF2E155" w14:textId="1F5AB3B3">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14:paraId="66A0C0FE" w14:textId="3AE9B3D0">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14:paraId="4018C443" w14:textId="7CCED568">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14:paraId="1FE6A367" w14:textId="693F2BE6">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14:paraId="112E1F13" w14:textId="4F53338D">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14:paraId="316AE27C" w14:textId="45D9B802">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14:paraId="6C7F8CEE" w14:textId="3E56FDDC">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14:paraId="227C5069" w14:textId="18A8273E">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14:paraId="621AF072" w14:textId="4DD7BE70">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14:paraId="632B4B5C" w14:textId="40A0930D">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14:paraId="35182FA1" w14:textId="39C301D0">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14:paraId="1D74C53A" w14:textId="77803E69">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14:paraId="03FCA4D0" w14:textId="345317D3">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14:paraId="18ACF544" w14:textId="688A6CE7">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14:paraId="05E68577">
      <w:pPr>
        <w:pBdr/>
        <w:spacing w:after="120" w:before="120" w:line="312" w:lineRule="auto"/>
        <w:ind/>
        <w:jc w:val="both"/>
        <w:rPr>
          <w:color w:val="000000" w:themeColor="text1"/>
        </w:rPr>
      </w:pPr>
      <w:r>
        <w:rPr>
          <w:color w:val="000000" w:themeColor="text1"/>
        </w:rPr>
      </w:r>
      <w:r>
        <w:rPr>
          <w:color w:val="000000" w:themeColor="text1"/>
        </w:rPr>
      </w:r>
      <w:r>
        <w:rPr>
          <w:color w:val="000000" w:themeColor="text1"/>
        </w:rPr>
      </w:r>
    </w:p>
    <w:p w14:paraId="04981DCF">
      <w:pPr>
        <w:pBdr/>
        <w:spacing w:after="120" w:before="120" w:line="312" w:lineRule="auto"/>
        <w:ind/>
        <w:jc w:val="both"/>
        <w:rPr>
          <w:color w:val="000000" w:themeColor="text1"/>
        </w:rPr>
      </w:pPr>
      <w:r>
        <w:rPr>
          <w:color w:val="000000" w:themeColor="text1"/>
          <w:highlight w:val="none"/>
        </w:rPr>
      </w:r>
      <w:r>
        <w:rPr>
          <w:color w:val="000000" w:themeColor="text1"/>
          <w:highlight w:val="none"/>
        </w:rPr>
      </w:r>
      <w:r>
        <w:rPr>
          <w:color w:val="000000" w:themeColor="text1"/>
          <w:highlight w:val="none"/>
        </w:rPr>
      </w:r>
    </w:p>
    <w:p w14:paraId="744E7726" w14:textId="77777777">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14:paraId="013DF434" w14:textId="523D0113">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14:paraId="40CE2B0F" w14:textId="2016B03F">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14:paraId="4056B2D2" w14:textId="6DBBA1EB">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14:paraId="5916F575" w14:textId="157794D1">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r>
        <w:rPr>
          <w:color w:val="000000" w:themeColor="text1"/>
        </w:rPr>
      </w:r>
    </w:p>
    <w:p w14:paraId="60D37B2B"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14:paraId="2C290F84"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3E450E33"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7BC77B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88AC77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943B910"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655EDE6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17FE8AE" w14:textId="0961D4AD">
            <w:pPr>
              <w:pBdr/>
              <w:spacing w:line="312" w:lineRule="auto"/>
              <w:ind/>
              <w:jc w:val="center"/>
              <w:rPr>
                <w:b/>
                <w:bCs/>
                <w:color w:val="000000" w:themeColor="text1"/>
              </w:rPr>
            </w:pPr>
            <w:r>
              <w:rPr>
                <w:b/>
                <w:bCs/>
                <w:color w:val="000000" w:themeColor="text1"/>
              </w:rPr>
              <w:t xml:space="preserve">BÀ NGUYỄN LỆ THANH</w:t>
            </w:r>
            <w:r>
              <w:rPr>
                <w:b/>
                <w:bCs/>
                <w:color w:val="000000" w:themeColor="text1"/>
              </w:rPr>
            </w:r>
            <w:r>
              <w:rPr>
                <w:b/>
                <w:bCs/>
                <w:color w:val="000000" w:themeColor="text1"/>
              </w:rPr>
            </w:r>
          </w:p>
          <w:p w14:paraId="7A3E8CCC"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14:paraId="4CAC58E2"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2D3FB0B8"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0268CE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15B242"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3389EB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3F4EE0DD"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DAA9CD" w14:textId="336C0779">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0D41FB3A" w14:textId="374F987E">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01B0CCD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6AEB30F"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677B04D" w14:textId="77777777">
      <w:pPr>
        <w:pBdr/>
        <w:spacing w:line="312" w:lineRule="auto"/>
        <w:ind/>
        <w:rPr>
          <w:b/>
          <w:color w:val="000000" w:themeColor="text1"/>
        </w:rPr>
      </w:pPr>
      <w:r>
        <w:rPr>
          <w:b/>
          <w:color w:val="000000" w:themeColor="text1"/>
        </w:rPr>
      </w:r>
      <w:r>
        <w:rPr>
          <w:b/>
          <w:color w:val="000000" w:themeColor="text1"/>
        </w:rPr>
      </w:r>
      <w:r>
        <w:rPr>
          <w:b/>
          <w:color w:val="000000" w:themeColor="text1"/>
        </w:rPr>
      </w:r>
    </w:p>
    <w:p w14:paraId="584C8806" w14:textId="6FB31976">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14:paraId="4D55B48B" w14:textId="45F30E19">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14:paraId="6BFC0ED0" w14:textId="12A84A10">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HSTD-20251210-0010/HĐTĐ-VFI-01</w:t>
      </w:r>
      <w:bookmarkEnd w:id="3"/>
      <w:r>
        <w:rPr>
          <w:b/>
          <w:bCs/>
          <w:color w:val="000000" w:themeColor="text1"/>
        </w:rPr>
        <w:br/>
      </w:r>
      <w:r>
        <w:rPr>
          <w:color w:val="000000" w:themeColor="text1"/>
        </w:rPr>
      </w:r>
      <w:r>
        <w:rPr>
          <w:color w:val="000000" w:themeColor="text1"/>
        </w:rPr>
      </w:r>
    </w:p>
    <w:p w14:paraId="72BA97DB" w14:textId="75D2DB70">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HSTD-20251210-0010/HĐTĐ-VFI </w:t>
      </w:r>
      <w:r>
        <w:rPr>
          <w:color w:val="000000" w:themeColor="text1"/>
        </w:rPr>
        <w:t xml:space="preserve">đã ký </w:t>
      </w:r>
      <w:r>
        <w:rPr>
          <w:color w:val="000000" w:themeColor="text1"/>
        </w:rPr>
        <w:t xml:space="preserve">ngày 2 tháng 1 năm 2026</w:t>
      </w:r>
      <w:r>
        <w:rPr>
          <w:color w:val="000000" w:themeColor="text1"/>
        </w:rPr>
      </w:r>
      <w:r>
        <w:rPr>
          <w:color w:val="000000" w:themeColor="text1"/>
        </w:rPr>
      </w:r>
    </w:p>
    <w:p w14:paraId="5584FF9C" w14:textId="66052AD0">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14:paraId="782A1E38" w14:textId="47FC586E">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6 tháng 1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14:paraId="1446E855" w14:textId="77777777">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14:paraId="7F4BCD8E"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1A19C822" w14:textId="57F65540">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NGUYỄN LỆ THANH</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14:paraId="570F76A1" w14:textId="4B440330">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14:paraId="0746ED50" w14:textId="77777777">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14:paraId="470ABBFA" w14:textId="12DAD471">
            <w:pPr>
              <w:pBdr/>
              <w:spacing w:after="40" w:before="40" w:line="288" w:lineRule="auto"/>
              <w:ind/>
              <w:contextualSpacing w:val="true"/>
              <w:rPr>
                <w:bCs/>
                <w:color w:val="000000" w:themeColor="text1"/>
                <w:lang w:val="vi-VN"/>
              </w:rPr>
            </w:pPr>
            <w:r>
              <w:rPr>
                <w:color w:val="000000" w:themeColor="text1"/>
              </w:rPr>
              <w:t xml:space="preserve">036163007791</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14:paraId="2C44CE04" w14:textId="77777777">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14:paraId="66A04698" w14:textId="77777777">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14:paraId="2DC12F94" w14:textId="26D15276">
            <w:pPr>
              <w:pBdr/>
              <w:spacing w:after="40" w:before="40" w:line="288" w:lineRule="auto"/>
              <w:ind/>
              <w:contextualSpacing w:val="true"/>
              <w:rPr>
                <w:bCs/>
                <w:color w:val="000000" w:themeColor="text1"/>
              </w:rPr>
            </w:pPr>
            <w:r>
              <w:rPr>
                <w:color w:val="000000" w:themeColor="text1"/>
                <w:lang w:val="vi-VN"/>
              </w:rPr>
              <w:t xml:space="preserve">Số 9 ngách 29/12 phố Khương Hạ, phường Khương Đình, thành phố Hà Nội</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5D9F6D96" w14:textId="77777777">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14:paraId="483BE95C" w14:textId="77777777">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14:paraId="3D744E68" w14:textId="77777777">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7B05AB83" w14:textId="77777777">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14:paraId="2391AD8A" w14:textId="77777777">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14:paraId="26BB3ECE" w14:textId="4863970B">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14:paraId="5EE5E73C" w14:textId="77777777">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14:paraId="34E4CC1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4875E897" w14:textId="1E76DF50">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14:paraId="469CDA55" w14:textId="77777777">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14:paraId="0A70CB6B"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43887DD" w14:textId="0A8C26EC">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14:paraId="2D942E7F" w14:textId="77777777">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14:paraId="28C87E34"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2E9E4FFB" w14:textId="7548EB19">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6555BDBB" w14:textId="77777777">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14:paraId="255C90DE" w14:textId="77777777">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14:paraId="6B2E57A2" w14:textId="77777777">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14:paraId="433A6D71" w14:textId="77777777">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14:paraId="33855E25"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1E797FF8" w14:textId="76D5685A">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14:paraId="46469AEA" w14:textId="77777777">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14:paraId="1DB1E564" w14:textId="77777777">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14:paraId="4CB9F3C3" w14:textId="1547DBDB">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14:paraId="150FF5B9" w14:textId="77777777">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14:paraId="644D56FD" w14:textId="54FB6BE8">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HSTD-20251210-0010/HĐTĐ-VFI-01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HSTD-20251210-0010/HĐTĐ-VFI </w:t>
      </w:r>
      <w:r>
        <w:rPr>
          <w:i/>
          <w:iCs/>
          <w:color w:val="000000" w:themeColor="text1"/>
        </w:rPr>
        <w:t xml:space="preserve">,</w:t>
      </w:r>
      <w:r>
        <w:rPr>
          <w:i/>
          <w:iCs/>
          <w:color w:val="000000" w:themeColor="text1"/>
        </w:rPr>
        <w:t xml:space="preserve">ngày 2 tháng 1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14:paraId="674AE1B6" w14:textId="77777777">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14:paraId="69B6A27D" w14:textId="77777777">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HSTD-20251210-0010/HĐTĐ-VFI đã ký ngày 2 tháng 1 năm 2026 như sau:</w:t>
      </w:r>
      <w:r>
        <w:rPr>
          <w:b/>
          <w:bCs/>
          <w:color w:val="000000" w:themeColor="text1"/>
        </w:rPr>
      </w:r>
      <w:r>
        <w:rPr>
          <w:b/>
          <w:bCs/>
          <w:color w:val="000000" w:themeColor="text1"/>
        </w:rPr>
      </w:r>
    </w:p>
    <w:p w14:paraId="1E84838F" w14:textId="77777777">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14:paraId="5CB7B8E0" w14:textId="77777777">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0F3C3E7F" w14:textId="77777777">
            <w:pPr>
              <w:pStyle w:val="1000"/>
              <w:pBdr/>
              <w:spacing w:line="312" w:lineRule="auto"/>
              <w:ind w:left="0"/>
              <w:rPr>
                <w:color w:val="000000" w:themeColor="text1"/>
              </w:rPr>
            </w:pPr>
            <w:r>
              <w:rPr>
                <w:color w:val="000000" w:themeColor="text1"/>
              </w:rPr>
              <w:t xml:space="preserve">500.000</w:t>
            </w:r>
            <w:r>
              <w:rPr>
                <w:color w:val="000000" w:themeColor="text1"/>
              </w:rPr>
            </w:r>
            <w:r>
              <w:rPr>
                <w:color w:val="000000" w:themeColor="text1"/>
              </w:rPr>
            </w:r>
          </w:p>
        </w:tc>
      </w:tr>
      <w:tr>
        <w:trPr/>
        <w:tc>
          <w:tcPr>
            <w:tcBorders/>
            <w:tcW w:w="5760" w:type="dxa"/>
            <w:textDirection w:val="lrTb"/>
            <w:noWrap w:val="false"/>
          </w:tcPr>
          <w:p w14:paraId="5F79DEF2" w14:textId="77777777">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616AC6E6"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0EBA1BD2" w14:textId="77777777">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4C9FEE4"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63E9E4C0" w14:textId="77777777">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14:paraId="1EF97C95"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33B16C50" w14:textId="77777777">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14:paraId="38950DE2" w14:textId="77777777">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14:paraId="12C03893" w14:textId="77777777">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14:paraId="73471486" w14:textId="77777777">
            <w:pPr>
              <w:pStyle w:val="1000"/>
              <w:pBdr/>
              <w:spacing w:line="312" w:lineRule="auto"/>
              <w:ind w:left="0"/>
              <w:rPr>
                <w:b/>
                <w:bCs/>
                <w:color w:val="000000" w:themeColor="text1"/>
              </w:rPr>
            </w:pPr>
            <w:r>
              <w:rPr>
                <w:b/>
                <w:bCs/>
                <w:color w:val="000000" w:themeColor="text1"/>
              </w:rPr>
              <w:t xml:space="preserve">500.000</w:t>
            </w:r>
            <w:r>
              <w:rPr>
                <w:b/>
                <w:bCs/>
                <w:color w:val="000000" w:themeColor="text1"/>
              </w:rPr>
            </w:r>
            <w:r>
              <w:rPr>
                <w:b/>
                <w:bCs/>
                <w:color w:val="000000" w:themeColor="text1"/>
              </w:rPr>
            </w:r>
          </w:p>
        </w:tc>
      </w:tr>
    </w:tbl>
    <w:p w14:paraId="467E9621" w14:textId="77777777">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14:paraId="01524676" w14:textId="77777777">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Năm trăm nghìn đồng</w:t>
      </w:r>
      <w:r>
        <w:rPr>
          <w:i/>
          <w:iCs/>
          <w:color w:val="000000" w:themeColor="text1"/>
        </w:rPr>
        <w:t xml:space="preserve">./.)</w:t>
      </w:r>
      <w:r>
        <w:rPr>
          <w:i/>
          <w:iCs/>
          <w:color w:val="000000" w:themeColor="text1"/>
        </w:rPr>
      </w:r>
      <w:r>
        <w:rPr>
          <w:i/>
          <w:iCs/>
          <w:color w:val="000000" w:themeColor="text1"/>
        </w:rPr>
      </w:r>
    </w:p>
    <w:p w14:paraId="4C65C182" w14:textId="77777777">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14:paraId="35250D07" w14:textId="4E3FE896">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HSTD-20251210-0010/HĐTĐ-VFI đã ký ngày 2 tháng 1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14:paraId="5A431FAD" w14:textId="216F42C0">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14:paraId="1470C389" w14:textId="4F1FFC08">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14:paraId="454613CB" w14:textId="713F2391">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14:paraId="1BD799B9" w14:textId="4C4F9201">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14:paraId="3E8B0968"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14:paraId="76F4A602" w14:textId="77777777">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14:paraId="229182A7" w14:textId="3C31C0A4">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14:paraId="434E181C" w14:textId="77777777">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14:paraId="5C8F2A35" w14:textId="77777777">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14:paraId="5628961D" w14:textId="14C48610">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14:paraId="33A6CD4C" w14:textId="314754B4">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HSTD-20251210-0010/HĐTĐ-VFI</w:t>
      </w:r>
      <w:r>
        <w:rPr>
          <w:color w:val="000000" w:themeColor="text1"/>
        </w:rPr>
      </w:r>
      <w:r>
        <w:rPr>
          <w:color w:val="000000" w:themeColor="text1"/>
        </w:rPr>
      </w:r>
    </w:p>
    <w:p w14:paraId="257FD33E" w14:textId="77777777">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14:paraId="535A0D50" w14:textId="112EFA1A">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14:paraId="79984181" w14:textId="5212A63E">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HSTD-20251210-0010/HĐTĐ-VFI</w:t>
      </w:r>
      <w:r>
        <w:rPr>
          <w:color w:val="000000" w:themeColor="text1"/>
        </w:rPr>
        <w:t xml:space="preserve"> và có giá trị kể từ ngày ký.</w:t>
      </w:r>
      <w:r>
        <w:rPr>
          <w:color w:val="000000" w:themeColor="text1"/>
        </w:rPr>
      </w:r>
      <w:r>
        <w:rPr>
          <w:color w:val="000000" w:themeColor="text1"/>
        </w:rPr>
      </w:r>
    </w:p>
    <w:p w14:paraId="6115F044" w14:textId="77777777">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14:paraId="21AF4B07" w14:textId="77777777">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14:paraId="5CDE1BB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FDA22F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E7BE4E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720A1C5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8EEBB2F"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98FB1BF" w14:textId="77777777">
            <w:pPr>
              <w:pBdr/>
              <w:spacing w:line="312" w:lineRule="auto"/>
              <w:ind/>
              <w:jc w:val="center"/>
              <w:rPr>
                <w:b/>
                <w:bCs/>
                <w:color w:val="000000" w:themeColor="text1"/>
              </w:rPr>
            </w:pPr>
            <w:r>
              <w:rPr>
                <w:b/>
                <w:bCs/>
                <w:color w:val="000000" w:themeColor="text1"/>
              </w:rPr>
              <w:t xml:space="preserve">BÀ NGUYỄN LỆ THANH</w:t>
            </w:r>
            <w:r>
              <w:rPr>
                <w:b/>
                <w:bCs/>
                <w:color w:val="000000" w:themeColor="text1"/>
              </w:rPr>
            </w:r>
            <w:r>
              <w:rPr>
                <w:b/>
                <w:bCs/>
                <w:color w:val="000000" w:themeColor="text1"/>
              </w:rPr>
            </w:r>
          </w:p>
          <w:p w14:paraId="28A2C4A7" w14:textId="77777777">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14:paraId="075F1376" w14:textId="77777777">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14:paraId="657A52B5"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0C3D67A"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1407CF4E"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AA893AB"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0035C0AC"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292D26C8" w14:textId="5E8BC347">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14:paraId="5F2C10FE" w14:textId="77777777">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14:paraId="710B7247"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44358526" w14:textId="77777777">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14:paraId="5441D766" w14:textId="77777777">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14:paraId="3BD7195B" w14:textId="77777777">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72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022B872E" w14:textId="77777777">
      <w:pPr>
        <w:pBdr/>
        <w:spacing/>
        <w:ind/>
        <w:rPr/>
      </w:pPr>
      <w:r>
        <w:separator/>
      </w:r>
      <w:r/>
    </w:p>
  </w:endnote>
  <w:endnote w:type="continuationSeparator" w:id="0">
    <w:p w14:paraId="68134BB3"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20833A0" w14:textId="77777777">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14:paraId="3FB163F5" w14:textId="77777777">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7518D441" w14:textId="77777777">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14:paraId="5493C6C3" w14:textId="77777777">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3B173A9F" w14:textId="77777777">
      <w:pPr>
        <w:pBdr/>
        <w:spacing/>
        <w:ind/>
        <w:rPr/>
      </w:pPr>
      <w:r>
        <w:separator/>
      </w:r>
      <w:r/>
    </w:p>
  </w:footnote>
  <w:footnote w:type="continuationSeparator" w:id="0">
    <w:p w14:paraId="3A10CA2B" w14:textId="77777777">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onlyoffice/9.2.0.98</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Trần Sơn Tùng</cp:lastModifiedBy>
  <cp:revision>80</cp:revision>
  <dcterms:created xsi:type="dcterms:W3CDTF">2025-09-08T09:51:00Z</dcterms:created>
  <dcterms:modified xsi:type="dcterms:W3CDTF">2026-01-07T08:28:28Z</dcterms:modified>
</cp:coreProperties>
</file>