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HSTD-20251210-0001/HĐTĐ-VFI</w:t>
            </w:r>
            <w:r>
              <w:rPr>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10 tháng 12 năm 2025</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Đình Tiến</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p w14:paraId="1340424E">
            <w:pPr>
              <w:pBdr/>
              <w:spacing/>
              <w:ind/>
              <w:jc w:val="center"/>
              <w:rPr/>
            </w:pPr>
            <w: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0E2EB455" w14:textId="77777777">
      <w:pPr>
        <w:pBdr/>
        <w:spacing w:after="120" w:before="120" w:line="312" w:lineRule="auto"/>
        <w:ind w:left="720"/>
        <w:jc w:val="both"/>
        <w:rPr>
          <w:bCs/>
          <w:color w:val="000000"/>
          <w:spacing w:val="-6"/>
        </w:rPr>
      </w:pPr>
      <w:r>
        <w:rPr>
          <w:bCs/>
        </w:rPr>
        <w:t xml:space="preserve">Giấy chứng nhận số CF02831, Số vào sổ cấp GCN CF029, Nơi cấp Hà Nội, Ngày cấp 11/12/2022, Số thửa 23, Tờ bản đồ 22, Địa chỉ trên sổ Đường Bùi Xươ</w:t>
      </w:r>
      <w:r>
        <w:rPr>
          <w:bCs/>
        </w:rPr>
        <w:t xml:space="preserve">ng Trạch, Phường Giáp Bát, Quận Hoàng Mai, Thành phố Hà Nội | Tài sản tại: Đường Bùi Xương Trạch, Phường Giáp Bát, Quận Hoàng Mai, Thành phố Hà Nội, độ rộng đường trước mặt tài sản 6m, đường ô tô tránh xe máy 3.6m – 4m, mặt tiền 9m, 20.9872376, 105.8185928</w:t>
      </w:r>
      <w:r>
        <w:rPr>
          <w:bCs/>
          <w:color w:val="000000"/>
          <w:spacing w:val="-6"/>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7.363.636</w:t>
            </w:r>
            <w:r>
              <w:rPr>
                <w:color w:val="000000" w:themeColor="text1"/>
              </w:rPr>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736.364</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8.100.000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Tám triệu một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Nguyễn Đình Tiến</w:t>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HSTD-20251210-0001/HĐTĐ-VFI-01</w:t>
      </w:r>
      <w:bookmarkEnd w:id="3"/>
      <w:r>
        <w:rPr>
          <w:b/>
          <w:bCs/>
          <w:color w:val="000000" w:themeColor="text1"/>
        </w:rPr>
        <w:br/>
      </w:r>
      <w:r>
        <w:rPr>
          <w:color w:val="000000" w:themeColor="text1"/>
        </w:rPr>
      </w:r>
      <w:r>
        <w:rPr>
          <w:color w:val="000000" w:themeColor="text1"/>
        </w:rPr>
      </w:r>
    </w:p>
    <w:p w14:paraId="72BA97DB" w14:textId="75D2DB70">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HSTD-20251210-0001/HĐTĐ-VFI </w:t>
      </w:r>
      <w:r>
        <w:rPr>
          <w:color w:val="000000" w:themeColor="text1"/>
        </w:rPr>
        <w:t xml:space="preserve">đã ký </w:t>
      </w:r>
      <w:r>
        <w:rPr>
          <w:color w:val="000000" w:themeColor="text1"/>
        </w:rPr>
        <w:t xml:space="preserve">ngày 10 tháng 12 năm 2025</w:t>
      </w:r>
      <w:r>
        <w:rPr>
          <w:color w:val="000000" w:themeColor="text1"/>
        </w:rPr>
      </w:r>
      <w:r>
        <w:rPr>
          <w:color w:val="000000" w:themeColor="text1"/>
        </w:rPr>
      </w:r>
    </w:p>
    <w:p w14:paraId="5584FF9C" w14:textId="66052AD0">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10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Đình Tiến</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HSTD-20251210-0001/HĐTĐ-VFI-01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HSTD-20251210-0001/HĐTĐ-VFI </w:t>
      </w:r>
      <w:r>
        <w:rPr>
          <w:i/>
          <w:iCs/>
          <w:color w:val="000000" w:themeColor="text1"/>
        </w:rPr>
        <w:t xml:space="preserve">,</w:t>
      </w:r>
      <w:r>
        <w:rPr>
          <w:i/>
          <w:iCs/>
          <w:color w:val="000000" w:themeColor="text1"/>
        </w:rPr>
        <w:t xml:space="preserve">ngày 10 tháng 12 năm 2025</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HSTD-20251210-0001/HĐTĐ-VFI đã ký ngày 10 tháng 12 năm 2025 như sau:</w:t>
      </w:r>
      <w:r>
        <w:rPr>
          <w:b/>
          <w:bCs/>
          <w:color w:val="000000" w:themeColor="text1"/>
        </w:rPr>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1000"/>
              <w:pBdr/>
              <w:spacing w:line="312" w:lineRule="auto"/>
              <w:ind w:left="0"/>
              <w:rPr>
                <w:color w:val="000000" w:themeColor="text1"/>
              </w:rPr>
            </w:pPr>
            <w:r>
              <w:rPr>
                <w:color w:val="000000" w:themeColor="text1"/>
              </w:rPr>
              <w:t xml:space="preserve">100.000</w:t>
            </w:r>
            <w:r>
              <w:rPr>
                <w:color w:val="000000" w:themeColor="text1"/>
              </w:rPr>
            </w:r>
            <w:r>
              <w:rPr>
                <w:color w:val="000000" w:themeColor="text1"/>
              </w:rPr>
            </w:r>
          </w:p>
        </w:tc>
      </w:tr>
      <w:tr>
        <w:trPr/>
        <w:tc>
          <w:tcPr>
            <w:tcBorders/>
            <w:tcW w:w="5760" w:type="dxa"/>
            <w:textDirection w:val="lrTb"/>
            <w:noWrap w:val="false"/>
          </w:tcPr>
          <w:p w14:paraId="5F79DEF2" w14:textId="77777777">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1000"/>
              <w:pBdr/>
              <w:spacing w:line="312" w:lineRule="auto"/>
              <w:ind w:left="0"/>
              <w:rPr>
                <w:color w:val="000000" w:themeColor="text1"/>
              </w:rPr>
            </w:pPr>
            <w:r>
              <w:rPr>
                <w:color w:val="000000" w:themeColor="text1"/>
              </w:rPr>
              <w:t xml:space="preserve">200.000</w:t>
            </w:r>
            <w:r>
              <w:rPr>
                <w:color w:val="000000" w:themeColor="text1"/>
              </w:rPr>
            </w:r>
            <w:r>
              <w:rPr>
                <w:color w:val="000000" w:themeColor="text1"/>
              </w:rPr>
            </w:r>
          </w:p>
        </w:tc>
      </w:tr>
      <w:tr>
        <w:trPr/>
        <w:tc>
          <w:tcPr>
            <w:tcBorders/>
            <w:tcW w:w="5760" w:type="dxa"/>
            <w:textDirection w:val="lrTb"/>
            <w:noWrap w:val="false"/>
          </w:tcPr>
          <w:p w14:paraId="0EBA1BD2" w14:textId="77777777">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1000"/>
              <w:pBdr/>
              <w:spacing w:line="312" w:lineRule="auto"/>
              <w:ind w:left="0"/>
              <w:rPr>
                <w:color w:val="000000" w:themeColor="text1"/>
              </w:rPr>
            </w:pPr>
            <w:r>
              <w:rPr>
                <w:color w:val="000000" w:themeColor="text1"/>
              </w:rPr>
              <w:t xml:space="preserve">50.000</w:t>
            </w:r>
            <w:r>
              <w:rPr>
                <w:color w:val="000000" w:themeColor="text1"/>
              </w:rPr>
            </w:r>
            <w:r>
              <w:rPr>
                <w:color w:val="000000" w:themeColor="text1"/>
              </w:rPr>
            </w:r>
          </w:p>
        </w:tc>
      </w:tr>
      <w:tr>
        <w:trPr/>
        <w:tc>
          <w:tcPr>
            <w:tcBorders/>
            <w:tcW w:w="5760" w:type="dxa"/>
            <w:textDirection w:val="lrTb"/>
            <w:noWrap w:val="false"/>
          </w:tcPr>
          <w:p w14:paraId="63E9E4C0" w14:textId="77777777">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33B16C50" w14:textId="77777777">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12C03893" w14:textId="77777777">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1000"/>
              <w:pBdr/>
              <w:spacing w:line="312" w:lineRule="auto"/>
              <w:ind w:left="0"/>
              <w:rPr>
                <w:b/>
                <w:bCs/>
                <w:color w:val="000000" w:themeColor="text1"/>
              </w:rPr>
            </w:pPr>
            <w:r>
              <w:rPr>
                <w:b/>
                <w:bCs/>
                <w:color w:val="000000" w:themeColor="text1"/>
              </w:rPr>
              <w:t xml:space="preserve">350.000</w:t>
            </w:r>
            <w:r>
              <w:rPr>
                <w:b/>
                <w:bCs/>
                <w:color w:val="000000" w:themeColor="text1"/>
              </w:rPr>
            </w:r>
            <w:r>
              <w:rPr>
                <w:b/>
                <w:bCs/>
                <w:color w:val="000000" w:themeColor="text1"/>
              </w:rPr>
            </w:r>
          </w:p>
        </w:tc>
      </w:tr>
    </w:tbl>
    <w:p w14:paraId="467E9621" w14:textId="77777777">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14:paraId="01524676" w14:textId="77777777">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Ba trăm năm mươi nghìn đồng</w:t>
      </w:r>
      <w:r>
        <w:rPr>
          <w:i/>
          <w:iCs/>
          <w:color w:val="000000" w:themeColor="text1"/>
        </w:rPr>
        <w:t xml:space="preserve">./.)</w:t>
      </w:r>
      <w:r>
        <w:rPr>
          <w:i/>
          <w:iCs/>
          <w:color w:val="000000" w:themeColor="text1"/>
        </w:rPr>
      </w:r>
      <w:r>
        <w:rPr>
          <w:i/>
          <w:iCs/>
          <w:color w:val="000000" w:themeColor="text1"/>
        </w:rPr>
      </w:r>
    </w:p>
    <w:p w14:paraId="4C65C182" w14:textId="77777777">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HSTD-20251210-0001/HĐTĐ-VFI đã ký ngày 10 tháng 12 năm 2025</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14:paraId="5A431FAD" w14:textId="216F42C0">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14:paraId="1470C389" w14:textId="4F1FFC08">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14:paraId="3E8B0968"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14:paraId="76F4A602"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229182A7" w14:textId="3C31C0A4">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434E181C" w14:textId="77777777">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5C8F2A35" w14:textId="77777777">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14:paraId="33A6CD4C" w14:textId="314754B4">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HSTD-20251210-0001/HĐTĐ-VFI</w:t>
      </w:r>
      <w:r>
        <w:rPr>
          <w:color w:val="000000" w:themeColor="text1"/>
        </w:rPr>
      </w:r>
      <w:r>
        <w:rPr>
          <w:color w:val="000000" w:themeColor="text1"/>
        </w:rPr>
      </w:r>
    </w:p>
    <w:p w14:paraId="257FD33E" w14:textId="77777777">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14:paraId="535A0D50" w14:textId="112EFA1A">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14:paraId="79984181" w14:textId="5212A63E">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HSTD-20251210-0001/HĐTĐ-VFI</w:t>
      </w:r>
      <w:r>
        <w:rPr>
          <w:color w:val="000000" w:themeColor="text1"/>
        </w:rPr>
        <w:t xml:space="preserve"> và có giá trị kể từ ngày ký.</w:t>
      </w:r>
      <w:r>
        <w:rPr>
          <w:color w:val="000000" w:themeColor="text1"/>
        </w:rPr>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Nguyễn Đình Tiến</w:t>
            </w:r>
            <w:r>
              <w:rPr>
                <w:b/>
                <w:bCs/>
                <w:color w:val="000000" w:themeColor="text1"/>
              </w:rPr>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Đoàn Thị Xinh</cp:lastModifiedBy>
  <cp:revision>80</cp:revision>
  <dcterms:created xsi:type="dcterms:W3CDTF">2025-09-08T09:51:00Z</dcterms:created>
  <dcterms:modified xsi:type="dcterms:W3CDTF">2025-12-17T09:54:15Z</dcterms:modified>
</cp:coreProperties>
</file>